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3A0D3" w14:textId="4E8C993F" w:rsidR="00F51E92" w:rsidRPr="00717AF1" w:rsidRDefault="00F51E92" w:rsidP="005C4644">
      <w:pPr>
        <w:pStyle w:val="Heading1"/>
        <w:rPr>
          <w:rFonts w:cs="Arial"/>
          <w:sz w:val="36"/>
        </w:rPr>
      </w:pPr>
      <w:r w:rsidRPr="00717AF1">
        <w:rPr>
          <w:rFonts w:cs="Arial"/>
        </w:rPr>
        <w:t>New NIH Delegated Acquisition Certification (DAC) Program</w:t>
      </w:r>
      <w:r w:rsidR="00AE6303" w:rsidRPr="00717AF1">
        <w:rPr>
          <w:rFonts w:cs="Arial"/>
        </w:rPr>
        <w:t xml:space="preserve"> replaces HHS Simplified acquisition certification program (SAC)</w:t>
      </w:r>
    </w:p>
    <w:p w14:paraId="151F9481" w14:textId="6F60837F" w:rsidR="00DD5829" w:rsidRPr="00717AF1" w:rsidRDefault="00DD5829" w:rsidP="004D1E09">
      <w:r w:rsidRPr="00717AF1">
        <w:t xml:space="preserve">On April 30, 2019, </w:t>
      </w:r>
      <w:bookmarkStart w:id="0" w:name="_Hlk8380933"/>
      <w:r w:rsidRPr="00717AF1">
        <w:t xml:space="preserve">the </w:t>
      </w:r>
      <w:hyperlink r:id="rId5" w:history="1">
        <w:r w:rsidRPr="00717AF1">
          <w:rPr>
            <w:rStyle w:val="Hyperlink"/>
            <w:rFonts w:ascii="Arial" w:hAnsi="Arial" w:cs="Arial"/>
          </w:rPr>
          <w:t>NIH Delegated Acquisition Certification (DAC)</w:t>
        </w:r>
      </w:hyperlink>
      <w:r w:rsidRPr="00717AF1">
        <w:t xml:space="preserve"> Prog</w:t>
      </w:r>
      <w:bookmarkEnd w:id="0"/>
      <w:r w:rsidRPr="00717AF1">
        <w:t>ram</w:t>
      </w:r>
      <w:r w:rsidR="00D22F16" w:rsidRPr="00717AF1">
        <w:t xml:space="preserve"> </w:t>
      </w:r>
      <w:r w:rsidR="00006EF5" w:rsidRPr="00717AF1">
        <w:t xml:space="preserve">became effective.  </w:t>
      </w:r>
      <w:r w:rsidR="003610D0" w:rsidRPr="00717AF1">
        <w:t>An acquisition certification</w:t>
      </w:r>
      <w:r w:rsidR="007E0BE1" w:rsidRPr="00717AF1">
        <w:t xml:space="preserve"> such as the</w:t>
      </w:r>
      <w:r w:rsidR="003610D0" w:rsidRPr="00717AF1">
        <w:t xml:space="preserve"> Federal </w:t>
      </w:r>
      <w:r w:rsidR="007E0BE1" w:rsidRPr="00717AF1">
        <w:t>Acquisition</w:t>
      </w:r>
      <w:r w:rsidR="003610D0" w:rsidRPr="00717AF1">
        <w:t xml:space="preserve"> </w:t>
      </w:r>
      <w:r w:rsidR="007E0BE1" w:rsidRPr="00717AF1">
        <w:t>Certification in C</w:t>
      </w:r>
      <w:r w:rsidR="00761FAD" w:rsidRPr="00717AF1">
        <w:t xml:space="preserve">ontracting (FAC-C), HHS Simplified </w:t>
      </w:r>
      <w:r w:rsidR="007E0BE1" w:rsidRPr="00717AF1">
        <w:t>Acquisition</w:t>
      </w:r>
      <w:r w:rsidR="00761FAD" w:rsidRPr="00717AF1">
        <w:t xml:space="preserve"> </w:t>
      </w:r>
      <w:r w:rsidR="007E0BE1" w:rsidRPr="00717AF1">
        <w:t>Certification (SAC)</w:t>
      </w:r>
      <w:r w:rsidR="00076BAC" w:rsidRPr="00717AF1">
        <w:t>,</w:t>
      </w:r>
      <w:r w:rsidR="007E0BE1" w:rsidRPr="00717AF1">
        <w:t xml:space="preserve"> and now the NIH Deleg</w:t>
      </w:r>
      <w:bookmarkStart w:id="1" w:name="_GoBack"/>
      <w:bookmarkEnd w:id="1"/>
      <w:r w:rsidR="007E0BE1" w:rsidRPr="00717AF1">
        <w:t>ated Acquisition Certification (DAC) signifies an achievement of training and prepares one for work in procurement.</w:t>
      </w:r>
      <w:r w:rsidR="001B017A" w:rsidRPr="00717AF1">
        <w:t xml:space="preserve">  </w:t>
      </w:r>
      <w:r w:rsidR="007E0BE1" w:rsidRPr="00717AF1">
        <w:t>An appropriate acquisition certification is necessary for issuance of a Contracting Officers Warrant</w:t>
      </w:r>
      <w:r w:rsidR="001B017A" w:rsidRPr="00717AF1">
        <w:t>—where the need for a warrant is justified</w:t>
      </w:r>
      <w:r w:rsidR="007E0BE1" w:rsidRPr="00717AF1">
        <w:t>. The DAC is being implemented in stages.  Individuals who held the former SAC</w:t>
      </w:r>
      <w:r w:rsidR="001B017A" w:rsidRPr="00717AF1">
        <w:t xml:space="preserve"> </w:t>
      </w:r>
      <w:r w:rsidR="007E0BE1" w:rsidRPr="00717AF1">
        <w:t xml:space="preserve">and maintained that acquisition certification through regular continuous </w:t>
      </w:r>
      <w:r w:rsidR="001B017A" w:rsidRPr="00717AF1">
        <w:t>learning</w:t>
      </w:r>
      <w:r w:rsidR="007E0BE1" w:rsidRPr="00717AF1">
        <w:t xml:space="preserve"> will </w:t>
      </w:r>
      <w:r w:rsidR="001B017A" w:rsidRPr="00717AF1">
        <w:t xml:space="preserve">be Grandfathered into the DAC </w:t>
      </w:r>
      <w:r w:rsidR="00006EF5" w:rsidRPr="00717AF1">
        <w:t xml:space="preserve">and will </w:t>
      </w:r>
      <w:r w:rsidR="007E0BE1" w:rsidRPr="00717AF1">
        <w:t xml:space="preserve">experience no immediate </w:t>
      </w:r>
      <w:r w:rsidRPr="00717AF1">
        <w:t>impact</w:t>
      </w:r>
      <w:r w:rsidR="007E0BE1" w:rsidRPr="00717AF1">
        <w:t>.</w:t>
      </w:r>
      <w:r w:rsidRPr="00717AF1">
        <w:t xml:space="preserve"> The following topics may be of interest to </w:t>
      </w:r>
      <w:r w:rsidR="00006EF5" w:rsidRPr="00717AF1">
        <w:t xml:space="preserve">procurement staff, their supervisors and managers. </w:t>
      </w:r>
    </w:p>
    <w:p w14:paraId="61CF4AEE" w14:textId="77777777" w:rsidR="00006EF5" w:rsidRPr="004D1E09" w:rsidRDefault="00006EF5" w:rsidP="004D1E09">
      <w:pPr>
        <w:rPr>
          <w:rStyle w:val="Strong"/>
        </w:rPr>
      </w:pPr>
      <w:r w:rsidRPr="004D1E09">
        <w:rPr>
          <w:rStyle w:val="Strong"/>
        </w:rPr>
        <w:t>Warrants:</w:t>
      </w:r>
    </w:p>
    <w:p w14:paraId="687A6B65" w14:textId="344C3585" w:rsidR="00006EF5" w:rsidRPr="00717AF1" w:rsidRDefault="00717AF1" w:rsidP="004D1E09">
      <w:r w:rsidRPr="00717AF1">
        <w:t xml:space="preserve">Warrants are only issued against a valid acquisition certification and where a need is justified. </w:t>
      </w:r>
      <w:r w:rsidR="00006EF5" w:rsidRPr="00717AF1">
        <w:t xml:space="preserve">All acquisition certifications require achievement of continuous learning.  Where a warrant holder does not maintain their underlying acquisition certification by achievement of required continuous learning, the acquisition certification </w:t>
      </w:r>
      <w:r w:rsidRPr="00717AF1">
        <w:t>fails,</w:t>
      </w:r>
      <w:r w:rsidR="00006EF5" w:rsidRPr="00717AF1">
        <w:t xml:space="preserve"> and the warrant is revoked.   Those who maintained their Simplified Acquisition Certification by achievement of the required 40 CLPs and transmitted that information to the Acquisition Career Program Office are grandfathered into the new DAC and will have no impact to their existing warrant.  Warranted Contracting Officers holding the former DHHS level 1 and HHS SAC who by April 30, 2019 </w:t>
      </w:r>
      <w:r w:rsidR="00006EF5" w:rsidRPr="00717AF1">
        <w:rPr>
          <w:u w:val="single"/>
        </w:rPr>
        <w:t>did not</w:t>
      </w:r>
      <w:r w:rsidR="00006EF5" w:rsidRPr="00717AF1">
        <w:t xml:space="preserve"> successfully complete the required CLPs </w:t>
      </w:r>
      <w:r w:rsidRPr="00717AF1">
        <w:t>will not be g</w:t>
      </w:r>
      <w:r w:rsidR="00006EF5" w:rsidRPr="00717AF1">
        <w:t>randfather into the DAC and are no longer eligible to hold a Contracting Officers Warrant because they do not hold the necessary underlying acquisition certification.  Therefore, OALM will be taking steps over the next week</w:t>
      </w:r>
      <w:r w:rsidRPr="00717AF1">
        <w:t>s</w:t>
      </w:r>
      <w:r w:rsidR="00006EF5" w:rsidRPr="00717AF1">
        <w:t xml:space="preserve"> to revoke those warrant authorities and remove approval provisioning authorities in NBS PRISM™ and NBS Oracle iProcur</w:t>
      </w:r>
      <w:r w:rsidR="00795E52">
        <w:t>e</w:t>
      </w:r>
      <w:r w:rsidR="00006EF5" w:rsidRPr="00717AF1">
        <w:t xml:space="preserve">ment Purchase Card System.  </w:t>
      </w:r>
    </w:p>
    <w:p w14:paraId="7790D6C0" w14:textId="77777777" w:rsidR="00DD5829" w:rsidRPr="00717AF1" w:rsidRDefault="00DD5829" w:rsidP="004D1E09">
      <w:pPr>
        <w:pStyle w:val="Heading1"/>
      </w:pPr>
      <w:r w:rsidRPr="004D1E09">
        <w:t>FAITAS</w:t>
      </w:r>
      <w:r w:rsidRPr="00717AF1">
        <w:t>:</w:t>
      </w:r>
    </w:p>
    <w:p w14:paraId="2585B710" w14:textId="2C4173B2" w:rsidR="00DD5829" w:rsidRPr="00717AF1" w:rsidRDefault="001B017A" w:rsidP="004D1E09">
      <w:r w:rsidRPr="00717AF1">
        <w:t>In the future, The Federal Acquisition Institute Training Application System (F</w:t>
      </w:r>
      <w:r w:rsidR="00DD5829" w:rsidRPr="00717AF1">
        <w:t>AITAS</w:t>
      </w:r>
      <w:r w:rsidRPr="00717AF1">
        <w:t>)</w:t>
      </w:r>
      <w:r w:rsidR="00DD5829" w:rsidRPr="00717AF1">
        <w:t xml:space="preserve"> will be </w:t>
      </w:r>
      <w:r w:rsidRPr="00717AF1">
        <w:t xml:space="preserve">used to </w:t>
      </w:r>
      <w:r w:rsidR="00717AF1" w:rsidRPr="00717AF1">
        <w:t xml:space="preserve">manage the </w:t>
      </w:r>
      <w:r w:rsidRPr="00717AF1">
        <w:t>new NIH DA</w:t>
      </w:r>
      <w:r w:rsidR="00717AF1" w:rsidRPr="00717AF1">
        <w:t xml:space="preserve">C.  </w:t>
      </w:r>
      <w:r w:rsidR="00DD5829" w:rsidRPr="00717AF1">
        <w:t xml:space="preserve">The Acquisition Career Program (ACP) office </w:t>
      </w:r>
      <w:r w:rsidR="00717AF1" w:rsidRPr="00717AF1">
        <w:t xml:space="preserve">is working with </w:t>
      </w:r>
      <w:r w:rsidR="00DD5829" w:rsidRPr="00717AF1">
        <w:t>F</w:t>
      </w:r>
      <w:r w:rsidR="001B69D6" w:rsidRPr="00717AF1">
        <w:t xml:space="preserve">ederal Acquisition Institute (FAI) </w:t>
      </w:r>
      <w:r w:rsidR="00DD5829" w:rsidRPr="00717AF1">
        <w:t xml:space="preserve">to complete </w:t>
      </w:r>
      <w:r w:rsidRPr="00717AF1">
        <w:t xml:space="preserve">development </w:t>
      </w:r>
      <w:r w:rsidR="00717AF1" w:rsidRPr="00717AF1">
        <w:t xml:space="preserve">of the DAC in FAITAS </w:t>
      </w:r>
      <w:r w:rsidRPr="00717AF1">
        <w:t>and</w:t>
      </w:r>
      <w:r w:rsidR="00717AF1" w:rsidRPr="00717AF1">
        <w:t xml:space="preserve"> will</w:t>
      </w:r>
      <w:r w:rsidRPr="00717AF1">
        <w:t xml:space="preserve"> provide additional information as it becomes available. </w:t>
      </w:r>
      <w:r w:rsidR="00DD5829" w:rsidRPr="00717AF1">
        <w:t xml:space="preserve"> </w:t>
      </w:r>
      <w:r w:rsidRPr="00717AF1">
        <w:t xml:space="preserve">Until the new DAC </w:t>
      </w:r>
      <w:r w:rsidR="001B69D6" w:rsidRPr="00717AF1">
        <w:t xml:space="preserve">certification </w:t>
      </w:r>
      <w:r w:rsidRPr="00717AF1">
        <w:t xml:space="preserve">is </w:t>
      </w:r>
      <w:r w:rsidR="001B69D6" w:rsidRPr="00717AF1">
        <w:t>built</w:t>
      </w:r>
      <w:r w:rsidRPr="00717AF1">
        <w:t xml:space="preserve"> in FAITAS, staff may submit a </w:t>
      </w:r>
      <w:r w:rsidR="00DD5829" w:rsidRPr="00717AF1">
        <w:t>certification request</w:t>
      </w:r>
      <w:r w:rsidRPr="00717AF1">
        <w:t xml:space="preserve"> packet via email to </w:t>
      </w:r>
      <w:hyperlink r:id="rId6" w:history="1">
        <w:r w:rsidRPr="00717AF1">
          <w:rPr>
            <w:rStyle w:val="Hyperlink"/>
            <w:rFonts w:ascii="Arial" w:hAnsi="Arial" w:cs="Arial"/>
          </w:rPr>
          <w:t>ACP@ NIH.Gov</w:t>
        </w:r>
      </w:hyperlink>
      <w:r w:rsidRPr="00717AF1">
        <w:t xml:space="preserve">. </w:t>
      </w:r>
      <w:r w:rsidR="00DD5829" w:rsidRPr="00717AF1">
        <w:t xml:space="preserve">Those grandfathered </w:t>
      </w:r>
      <w:r w:rsidR="001B69D6" w:rsidRPr="00717AF1">
        <w:t xml:space="preserve">into the DAC </w:t>
      </w:r>
      <w:r w:rsidR="00DD5829" w:rsidRPr="00717AF1">
        <w:t xml:space="preserve">will be </w:t>
      </w:r>
      <w:r w:rsidR="001B69D6" w:rsidRPr="00717AF1">
        <w:t xml:space="preserve">provided an </w:t>
      </w:r>
      <w:r w:rsidR="00DD5829" w:rsidRPr="00717AF1">
        <w:t>NIH DAC certification</w:t>
      </w:r>
      <w:r w:rsidR="001B69D6" w:rsidRPr="00717AF1">
        <w:t xml:space="preserve"> with an effective term of April 30, 2019 through April 29, 2021.  </w:t>
      </w:r>
      <w:r w:rsidR="00DD5829" w:rsidRPr="00717AF1">
        <w:t> </w:t>
      </w:r>
      <w:r w:rsidR="00717AF1" w:rsidRPr="00717AF1">
        <w:t>Official c</w:t>
      </w:r>
      <w:r w:rsidR="00DD5829" w:rsidRPr="00717AF1">
        <w:t>ertificates will be available</w:t>
      </w:r>
      <w:r w:rsidR="001B69D6" w:rsidRPr="00717AF1">
        <w:t xml:space="preserve"> and issued after FAI </w:t>
      </w:r>
      <w:r w:rsidR="00DD5829" w:rsidRPr="00717AF1">
        <w:t xml:space="preserve">completes </w:t>
      </w:r>
      <w:r w:rsidR="001B69D6" w:rsidRPr="00717AF1">
        <w:t xml:space="preserve">development of the new certification in FAITAS.  This system will also provide the registrants with access to free or </w:t>
      </w:r>
      <w:r w:rsidR="00250E01" w:rsidRPr="00717AF1">
        <w:t>low-cost</w:t>
      </w:r>
      <w:r w:rsidR="001B69D6" w:rsidRPr="00717AF1">
        <w:t xml:space="preserve"> training and</w:t>
      </w:r>
      <w:r w:rsidR="00717AF1" w:rsidRPr="00717AF1">
        <w:t xml:space="preserve"> the ability to track required </w:t>
      </w:r>
      <w:r w:rsidR="001B69D6" w:rsidRPr="00717AF1">
        <w:t>future continuous learning.</w:t>
      </w:r>
    </w:p>
    <w:p w14:paraId="533B7D44" w14:textId="77777777" w:rsidR="004D1E09" w:rsidRDefault="004D1E09">
      <w:pPr>
        <w:spacing w:after="160" w:line="252" w:lineRule="auto"/>
        <w:jc w:val="both"/>
        <w:rPr>
          <w:rStyle w:val="Strong"/>
        </w:rPr>
      </w:pPr>
      <w:r>
        <w:rPr>
          <w:rStyle w:val="Strong"/>
        </w:rPr>
        <w:br w:type="page"/>
      </w:r>
    </w:p>
    <w:p w14:paraId="5715D994" w14:textId="40B3F7F0" w:rsidR="00DD5829" w:rsidRPr="004D1E09" w:rsidRDefault="00DD5829" w:rsidP="004D1E09">
      <w:pPr>
        <w:rPr>
          <w:rStyle w:val="Strong"/>
        </w:rPr>
      </w:pPr>
      <w:r w:rsidRPr="004D1E09">
        <w:rPr>
          <w:rStyle w:val="Strong"/>
        </w:rPr>
        <w:lastRenderedPageBreak/>
        <w:t>Training:</w:t>
      </w:r>
    </w:p>
    <w:p w14:paraId="57ECF6AC" w14:textId="467990C7" w:rsidR="00A7720D" w:rsidRPr="00717AF1" w:rsidRDefault="00DD5829" w:rsidP="004D1E09">
      <w:r w:rsidRPr="00717AF1">
        <w:t xml:space="preserve">Many of the training requirements for NIH DAC can be </w:t>
      </w:r>
      <w:r w:rsidR="00A7720D" w:rsidRPr="00717AF1">
        <w:t xml:space="preserve">obtained </w:t>
      </w:r>
      <w:r w:rsidRPr="00717AF1">
        <w:t xml:space="preserve">through FAITAS, the NIH Training Center, </w:t>
      </w:r>
      <w:r w:rsidR="00A7720D" w:rsidRPr="00717AF1">
        <w:t>or</w:t>
      </w:r>
      <w:r w:rsidRPr="00717AF1">
        <w:t xml:space="preserve"> through commercially available training vendors.  The </w:t>
      </w:r>
      <w:bookmarkStart w:id="2" w:name="_Hlk8381832"/>
      <w:r w:rsidR="00A7720D" w:rsidRPr="00717AF1">
        <w:fldChar w:fldCharType="begin"/>
      </w:r>
      <w:r w:rsidR="00A7720D" w:rsidRPr="00717AF1">
        <w:instrText xml:space="preserve"> HYPERLINK "https://oalm.od.nih.gov/node/152" </w:instrText>
      </w:r>
      <w:r w:rsidR="00A7720D" w:rsidRPr="00717AF1">
        <w:fldChar w:fldCharType="separate"/>
      </w:r>
      <w:r w:rsidR="00A7720D" w:rsidRPr="00717AF1">
        <w:rPr>
          <w:rStyle w:val="Hyperlink"/>
          <w:rFonts w:ascii="Arial" w:hAnsi="Arial" w:cs="Arial"/>
          <w:szCs w:val="24"/>
        </w:rPr>
        <w:t>NIH Delegated Acquisition Certification (DAC)</w:t>
      </w:r>
      <w:r w:rsidR="00A7720D" w:rsidRPr="00717AF1">
        <w:fldChar w:fldCharType="end"/>
      </w:r>
      <w:r w:rsidR="00A7720D" w:rsidRPr="00717AF1">
        <w:t xml:space="preserve"> </w:t>
      </w:r>
      <w:bookmarkEnd w:id="2"/>
      <w:r w:rsidR="00A7720D" w:rsidRPr="00717AF1">
        <w:t xml:space="preserve">website includes </w:t>
      </w:r>
      <w:r w:rsidRPr="00717AF1">
        <w:t xml:space="preserve">links to offerings for each of the training requirements.  </w:t>
      </w:r>
      <w:r w:rsidR="00A7720D" w:rsidRPr="00717AF1">
        <w:t xml:space="preserve">Two training requirements currently under development are </w:t>
      </w:r>
      <w:r w:rsidRPr="00717AF1">
        <w:rPr>
          <w:i/>
        </w:rPr>
        <w:t>Purchas</w:t>
      </w:r>
      <w:r w:rsidR="00A7720D" w:rsidRPr="00717AF1">
        <w:rPr>
          <w:i/>
        </w:rPr>
        <w:t>ing,</w:t>
      </w:r>
      <w:r w:rsidRPr="00717AF1">
        <w:rPr>
          <w:i/>
        </w:rPr>
        <w:t xml:space="preserve"> Policy</w:t>
      </w:r>
      <w:r w:rsidR="00A7720D" w:rsidRPr="00717AF1">
        <w:rPr>
          <w:i/>
        </w:rPr>
        <w:t>,</w:t>
      </w:r>
      <w:r w:rsidRPr="00717AF1">
        <w:rPr>
          <w:i/>
        </w:rPr>
        <w:t xml:space="preserve"> and Practice</w:t>
      </w:r>
      <w:r w:rsidR="00A7720D" w:rsidRPr="00717AF1">
        <w:t xml:space="preserve"> which will be an NIH specific course focused on the unique features of the NIH acquisition continuum and NIH procurement vehicles, and the much anticipated </w:t>
      </w:r>
      <w:r w:rsidRPr="00717AF1">
        <w:t xml:space="preserve">“Fair and Reasonable Price Determination” course.  The ACP </w:t>
      </w:r>
      <w:r w:rsidR="00A7720D" w:rsidRPr="00717AF1">
        <w:t>is working with partners to develop these training opportunities.  Staff who are grandfathered into the DAC, will be required to complete all DAC coursework by April 29, 2021. New staff hoping to achieve a DAC will be required to complete all coursework before requesting the new DAC acquisition certification.</w:t>
      </w:r>
    </w:p>
    <w:p w14:paraId="348A763D" w14:textId="77777777" w:rsidR="00DD5829" w:rsidRPr="004D1E09" w:rsidRDefault="00DD5829" w:rsidP="004D1E09">
      <w:pPr>
        <w:rPr>
          <w:rStyle w:val="Strong"/>
        </w:rPr>
      </w:pPr>
      <w:r w:rsidRPr="004D1E09">
        <w:rPr>
          <w:rStyle w:val="Strong"/>
        </w:rPr>
        <w:t>Application Requirement:</w:t>
      </w:r>
    </w:p>
    <w:p w14:paraId="50B494D5" w14:textId="0DB6F283" w:rsidR="00006EF5" w:rsidRPr="00717AF1" w:rsidRDefault="00DD5829" w:rsidP="004D1E09">
      <w:r w:rsidRPr="00717AF1">
        <w:t>The NIH DAC</w:t>
      </w:r>
      <w:r w:rsidR="00006EF5" w:rsidRPr="00717AF1">
        <w:t xml:space="preserve"> application in FAITAS will include two components: Experience and Training. Experience will require: 1) a copy of applicants resume demonstrating </w:t>
      </w:r>
      <w:r w:rsidRPr="00717AF1">
        <w:rPr>
          <w:rFonts w:eastAsia="Times New Roman"/>
        </w:rPr>
        <w:t>at least six month</w:t>
      </w:r>
      <w:r w:rsidR="003770AA" w:rsidRPr="00717AF1">
        <w:rPr>
          <w:rFonts w:eastAsia="Times New Roman"/>
        </w:rPr>
        <w:t>s</w:t>
      </w:r>
      <w:r w:rsidRPr="00717AF1">
        <w:rPr>
          <w:rFonts w:eastAsia="Times New Roman"/>
        </w:rPr>
        <w:t xml:space="preserve"> of Simplified Acquisition Experience</w:t>
      </w:r>
      <w:r w:rsidR="00006EF5" w:rsidRPr="00717AF1">
        <w:rPr>
          <w:rFonts w:eastAsia="Times New Roman"/>
        </w:rPr>
        <w:t xml:space="preserve">; 2) </w:t>
      </w:r>
      <w:r w:rsidR="00717AF1">
        <w:rPr>
          <w:rFonts w:eastAsia="Times New Roman"/>
        </w:rPr>
        <w:t>m</w:t>
      </w:r>
      <w:r w:rsidRPr="00717AF1">
        <w:rPr>
          <w:rFonts w:eastAsia="Times New Roman"/>
        </w:rPr>
        <w:t>ost recent PMAP with category rating (first page only)</w:t>
      </w:r>
      <w:r w:rsidR="00006EF5" w:rsidRPr="00717AF1">
        <w:rPr>
          <w:rFonts w:eastAsia="Times New Roman"/>
        </w:rPr>
        <w:t xml:space="preserve">; and 3) </w:t>
      </w:r>
      <w:r w:rsidRPr="00717AF1">
        <w:rPr>
          <w:rFonts w:eastAsia="Times New Roman"/>
        </w:rPr>
        <w:t>NIH DAC Application Form</w:t>
      </w:r>
      <w:r w:rsidR="00006EF5" w:rsidRPr="00717AF1">
        <w:rPr>
          <w:rFonts w:eastAsia="Times New Roman"/>
        </w:rPr>
        <w:t xml:space="preserve">.  Training requirements </w:t>
      </w:r>
      <w:r w:rsidR="00717AF1">
        <w:rPr>
          <w:rFonts w:eastAsia="Times New Roman"/>
        </w:rPr>
        <w:t xml:space="preserve">and the application form are available </w:t>
      </w:r>
      <w:r w:rsidR="00006EF5" w:rsidRPr="00717AF1">
        <w:rPr>
          <w:rFonts w:eastAsia="Times New Roman"/>
        </w:rPr>
        <w:t xml:space="preserve">on the </w:t>
      </w:r>
      <w:hyperlink r:id="rId7" w:history="1">
        <w:r w:rsidR="00006EF5" w:rsidRPr="00717AF1">
          <w:rPr>
            <w:rStyle w:val="Hyperlink"/>
            <w:rFonts w:ascii="Arial" w:hAnsi="Arial" w:cs="Arial"/>
            <w:szCs w:val="24"/>
          </w:rPr>
          <w:t>NIH Delegated Acquisition Certification (DAC)</w:t>
        </w:r>
      </w:hyperlink>
      <w:r w:rsidR="00006EF5" w:rsidRPr="00717AF1">
        <w:t xml:space="preserve"> webpage.</w:t>
      </w:r>
    </w:p>
    <w:p w14:paraId="31EA6A3C" w14:textId="2BD8F577" w:rsidR="00F51E92" w:rsidRPr="00717AF1" w:rsidRDefault="00F51E92" w:rsidP="004D1E09">
      <w:pPr>
        <w:pStyle w:val="Heading1"/>
        <w:rPr>
          <w:rFonts w:eastAsiaTheme="minorHAnsi"/>
        </w:rPr>
      </w:pPr>
      <w:proofErr w:type="spellStart"/>
      <w:r w:rsidRPr="00717AF1">
        <w:rPr>
          <w:rFonts w:eastAsiaTheme="minorHAnsi"/>
        </w:rPr>
        <w:t>SmartPay</w:t>
      </w:r>
      <w:proofErr w:type="spellEnd"/>
      <w:r w:rsidRPr="00717AF1">
        <w:rPr>
          <w:rFonts w:eastAsiaTheme="minorHAnsi"/>
        </w:rPr>
        <w:t xml:space="preserve"> 3 (SP3) Purchase Card Update</w:t>
      </w:r>
    </w:p>
    <w:p w14:paraId="08FA5DB0" w14:textId="77777777" w:rsidR="00F51E92" w:rsidRPr="00717AF1" w:rsidRDefault="00F51E92" w:rsidP="004D1E09">
      <w:pPr>
        <w:rPr>
          <w:rFonts w:eastAsiaTheme="minorHAnsi"/>
        </w:rPr>
      </w:pPr>
      <w:r w:rsidRPr="00717AF1">
        <w:rPr>
          <w:rFonts w:eastAsiaTheme="minorHAnsi"/>
        </w:rPr>
        <w:t xml:space="preserve">Effective January 15, 2019, the NIH Purchase Card Program transitioned from </w:t>
      </w:r>
      <w:proofErr w:type="spellStart"/>
      <w:r w:rsidRPr="00717AF1">
        <w:rPr>
          <w:rFonts w:eastAsiaTheme="minorHAnsi"/>
        </w:rPr>
        <w:t>SmartPay</w:t>
      </w:r>
      <w:proofErr w:type="spellEnd"/>
      <w:r w:rsidRPr="00717AF1">
        <w:rPr>
          <w:rFonts w:eastAsiaTheme="minorHAnsi"/>
        </w:rPr>
        <w:t xml:space="preserve"> 2 (SP2) with JP Morgan to </w:t>
      </w:r>
      <w:proofErr w:type="spellStart"/>
      <w:r w:rsidRPr="00717AF1">
        <w:rPr>
          <w:rFonts w:eastAsiaTheme="minorHAnsi"/>
        </w:rPr>
        <w:t>SmartPay</w:t>
      </w:r>
      <w:proofErr w:type="spellEnd"/>
      <w:r w:rsidRPr="00717AF1">
        <w:rPr>
          <w:rFonts w:eastAsiaTheme="minorHAnsi"/>
        </w:rPr>
        <w:t xml:space="preserve"> 3 (SP3) with Citibank. NIH purchase cardholders were issued new Citibank cards and Citibank convenience checks (if applicable) as part of the bank transition. All Citibank cards should have been activated and JP Morgan cards and checks destroyed. </w:t>
      </w:r>
    </w:p>
    <w:p w14:paraId="07E8CCE8" w14:textId="77777777" w:rsidR="00F51E92" w:rsidRPr="00717AF1" w:rsidRDefault="00F51E92" w:rsidP="004D1E09">
      <w:pPr>
        <w:rPr>
          <w:rFonts w:eastAsiaTheme="minorHAnsi"/>
        </w:rPr>
      </w:pPr>
      <w:r w:rsidRPr="00717AF1">
        <w:rPr>
          <w:rFonts w:eastAsiaTheme="minorHAnsi"/>
        </w:rPr>
        <w:t xml:space="preserve">Now that the Program has transitioned to SP3, we continue to work with Citibank and other NIH stakeholders to address various challenges and implement key tasks which include the following: </w:t>
      </w:r>
    </w:p>
    <w:p w14:paraId="09099AF4" w14:textId="77777777" w:rsidR="00F51E92" w:rsidRPr="00717AF1" w:rsidRDefault="00F51E92" w:rsidP="004D1E09">
      <w:pPr>
        <w:pStyle w:val="ListParagraph"/>
        <w:numPr>
          <w:ilvl w:val="0"/>
          <w:numId w:val="7"/>
        </w:numPr>
        <w:ind w:left="630"/>
        <w:rPr>
          <w:rFonts w:eastAsiaTheme="minorHAnsi"/>
        </w:rPr>
      </w:pPr>
      <w:r w:rsidRPr="00717AF1">
        <w:rPr>
          <w:rFonts w:eastAsiaTheme="minorHAnsi"/>
        </w:rPr>
        <w:t xml:space="preserve">Day-to-day account set-up and maintenance processes </w:t>
      </w:r>
    </w:p>
    <w:p w14:paraId="508A3EBC" w14:textId="77777777" w:rsidR="00F51E92" w:rsidRPr="00717AF1" w:rsidRDefault="00F51E92" w:rsidP="004D1E09">
      <w:pPr>
        <w:pStyle w:val="ListParagraph"/>
        <w:numPr>
          <w:ilvl w:val="0"/>
          <w:numId w:val="7"/>
        </w:numPr>
        <w:ind w:left="630"/>
        <w:rPr>
          <w:rFonts w:eastAsiaTheme="minorHAnsi"/>
        </w:rPr>
      </w:pPr>
      <w:r w:rsidRPr="00717AF1">
        <w:rPr>
          <w:rFonts w:eastAsiaTheme="minorHAnsi"/>
        </w:rPr>
        <w:t>Purchase card reconciliation in NBS</w:t>
      </w:r>
    </w:p>
    <w:p w14:paraId="62957FB2" w14:textId="77777777" w:rsidR="00F51E92" w:rsidRPr="00717AF1" w:rsidRDefault="00F51E92" w:rsidP="004D1E09">
      <w:pPr>
        <w:pStyle w:val="ListParagraph"/>
        <w:numPr>
          <w:ilvl w:val="0"/>
          <w:numId w:val="7"/>
        </w:numPr>
        <w:ind w:left="630"/>
        <w:rPr>
          <w:rFonts w:eastAsiaTheme="minorHAnsi"/>
        </w:rPr>
      </w:pPr>
      <w:r w:rsidRPr="00717AF1">
        <w:rPr>
          <w:rFonts w:eastAsiaTheme="minorHAnsi"/>
        </w:rPr>
        <w:t xml:space="preserve">Citibank electronic access system functionality issues </w:t>
      </w:r>
    </w:p>
    <w:p w14:paraId="1C50C1DB" w14:textId="77777777" w:rsidR="00F51E92" w:rsidRPr="00717AF1" w:rsidRDefault="00F51E92" w:rsidP="004D1E09">
      <w:pPr>
        <w:pStyle w:val="ListParagraph"/>
        <w:numPr>
          <w:ilvl w:val="0"/>
          <w:numId w:val="7"/>
        </w:numPr>
        <w:ind w:left="630"/>
        <w:rPr>
          <w:rFonts w:eastAsiaTheme="minorHAnsi"/>
        </w:rPr>
      </w:pPr>
      <w:r w:rsidRPr="00717AF1">
        <w:rPr>
          <w:rFonts w:eastAsiaTheme="minorHAnsi"/>
        </w:rPr>
        <w:t>Demographics file integration from Citibank and validating data in NBS</w:t>
      </w:r>
    </w:p>
    <w:p w14:paraId="6129C181" w14:textId="77777777" w:rsidR="00F51E92" w:rsidRPr="00717AF1" w:rsidRDefault="00F51E92" w:rsidP="004D1E09">
      <w:pPr>
        <w:pStyle w:val="ListParagraph"/>
        <w:numPr>
          <w:ilvl w:val="0"/>
          <w:numId w:val="7"/>
        </w:numPr>
        <w:ind w:left="630"/>
        <w:rPr>
          <w:rFonts w:eastAsiaTheme="minorHAnsi"/>
        </w:rPr>
      </w:pPr>
      <w:r w:rsidRPr="00717AF1">
        <w:rPr>
          <w:rFonts w:eastAsiaTheme="minorHAnsi"/>
        </w:rPr>
        <w:t xml:space="preserve">Compromised cards and; </w:t>
      </w:r>
    </w:p>
    <w:p w14:paraId="19F14EA1" w14:textId="1915A0F1" w:rsidR="00F51E92" w:rsidRPr="00717AF1" w:rsidRDefault="00F51E92" w:rsidP="004D1E09">
      <w:pPr>
        <w:pStyle w:val="ListParagraph"/>
        <w:numPr>
          <w:ilvl w:val="0"/>
          <w:numId w:val="7"/>
        </w:numPr>
        <w:ind w:left="630"/>
        <w:rPr>
          <w:rFonts w:eastAsiaTheme="minorHAnsi"/>
        </w:rPr>
      </w:pPr>
      <w:r w:rsidRPr="00717AF1">
        <w:rPr>
          <w:rFonts w:eastAsiaTheme="minorHAnsi"/>
        </w:rPr>
        <w:t>Citibank customer service concerns</w:t>
      </w:r>
    </w:p>
    <w:p w14:paraId="59622504" w14:textId="77777777" w:rsidR="00F51E92" w:rsidRPr="00717AF1" w:rsidRDefault="00F51E92" w:rsidP="004D1E09">
      <w:pPr>
        <w:rPr>
          <w:rFonts w:eastAsiaTheme="minorHAnsi"/>
        </w:rPr>
      </w:pPr>
      <w:r w:rsidRPr="00717AF1">
        <w:rPr>
          <w:rFonts w:eastAsiaTheme="minorHAnsi"/>
        </w:rPr>
        <w:t xml:space="preserve">Citibank has hired additional staff to improve the customer service wait times.  Cardholders that are still experiencing issues when contacting the bank, should notify the NIH Purchase Card Help Desk.  </w:t>
      </w:r>
    </w:p>
    <w:p w14:paraId="253302F1" w14:textId="77777777" w:rsidR="00F51E92" w:rsidRPr="00717AF1" w:rsidRDefault="00F51E92" w:rsidP="004D1E09">
      <w:pPr>
        <w:rPr>
          <w:rFonts w:eastAsiaTheme="minorHAnsi"/>
        </w:rPr>
      </w:pPr>
      <w:r w:rsidRPr="00717AF1">
        <w:rPr>
          <w:rFonts w:eastAsiaTheme="minorHAnsi"/>
        </w:rPr>
        <w:t xml:space="preserve">In addition, Citibank offers some new functionality that NIH plans to explore further in the next several months.  One of which includes cardholder access to Citi Manager which is Citibank’s electronic access system (EAS). This functionality provides cardholders with the ability to view recent authorization and declines, dispute any unauthorized transactions and create alerts. Additional information on this will be forthcoming and shared with the purchase card community within the next couple of months. </w:t>
      </w:r>
    </w:p>
    <w:p w14:paraId="31048E06" w14:textId="77777777" w:rsidR="00F51E92" w:rsidRPr="00717AF1" w:rsidRDefault="00F51E92" w:rsidP="004D1E09">
      <w:pPr>
        <w:rPr>
          <w:rFonts w:eastAsiaTheme="minorHAnsi"/>
        </w:rPr>
      </w:pPr>
      <w:r w:rsidRPr="00717AF1">
        <w:rPr>
          <w:rFonts w:eastAsiaTheme="minorHAnsi"/>
        </w:rPr>
        <w:t xml:space="preserve">We appreciate the purchase card community’s efforts during the SP3 transition. Important Citibank contact information is also below for purchase cardholders. For general inquiries (e.g. </w:t>
      </w:r>
      <w:r w:rsidRPr="00717AF1">
        <w:rPr>
          <w:rFonts w:eastAsiaTheme="minorHAnsi"/>
        </w:rPr>
        <w:lastRenderedPageBreak/>
        <w:t xml:space="preserve">authorizations and declines, card status, etc.) cardholders should contact Customer Service. Inquiries involving suspicious charges or potential fraud should be directed to Fraud Early Warning. </w:t>
      </w:r>
    </w:p>
    <w:p w14:paraId="45436BFF" w14:textId="4F65C156" w:rsidR="00F51E92" w:rsidRPr="00BC26AE" w:rsidRDefault="00F51E92" w:rsidP="00BC26AE">
      <w:pPr>
        <w:tabs>
          <w:tab w:val="left" w:pos="5040"/>
        </w:tabs>
        <w:rPr>
          <w:rStyle w:val="Strong"/>
        </w:rPr>
      </w:pPr>
      <w:r w:rsidRPr="00BC26AE">
        <w:rPr>
          <w:rStyle w:val="Strong"/>
        </w:rPr>
        <w:t>Citibank Customer Service (available 24-7)</w:t>
      </w:r>
      <w:r w:rsidR="00BC26AE">
        <w:rPr>
          <w:rStyle w:val="Strong"/>
        </w:rPr>
        <w:tab/>
      </w:r>
      <w:r w:rsidRPr="00BC26AE">
        <w:rPr>
          <w:rStyle w:val="Strong"/>
        </w:rPr>
        <w:t xml:space="preserve">Citibank Fraud Early Warning (FEW) </w:t>
      </w:r>
    </w:p>
    <w:p w14:paraId="4692F2D9" w14:textId="65919FBF" w:rsidR="00F51E92" w:rsidRPr="00717AF1" w:rsidRDefault="00F51E92" w:rsidP="004D1E09">
      <w:pPr>
        <w:tabs>
          <w:tab w:val="left" w:pos="5040"/>
        </w:tabs>
        <w:rPr>
          <w:rFonts w:eastAsiaTheme="minorHAnsi"/>
        </w:rPr>
      </w:pPr>
      <w:r w:rsidRPr="00717AF1">
        <w:rPr>
          <w:rFonts w:eastAsiaTheme="minorHAnsi"/>
        </w:rPr>
        <w:t>1-800-790-7206</w:t>
      </w:r>
      <w:r w:rsidR="004D1E09">
        <w:rPr>
          <w:rFonts w:eastAsiaTheme="minorHAnsi"/>
        </w:rPr>
        <w:tab/>
      </w:r>
      <w:r w:rsidRPr="00717AF1">
        <w:rPr>
          <w:rFonts w:eastAsiaTheme="minorHAnsi"/>
        </w:rPr>
        <w:t>1-800-945-3114</w:t>
      </w:r>
    </w:p>
    <w:p w14:paraId="2A6642BF" w14:textId="3283C522" w:rsidR="00F51E92" w:rsidRPr="00717AF1" w:rsidRDefault="00F51E92" w:rsidP="004D1E09">
      <w:pPr>
        <w:rPr>
          <w:rFonts w:eastAsiaTheme="minorHAnsi"/>
        </w:rPr>
      </w:pPr>
      <w:r w:rsidRPr="00717AF1">
        <w:rPr>
          <w:rFonts w:eastAsiaTheme="minorHAnsi"/>
        </w:rPr>
        <w:t xml:space="preserve">If you have any questions on SP3 or Citibank is not able to assist, please contact the NIH Purchase Card Helpdesk at </w:t>
      </w:r>
      <w:hyperlink r:id="rId8" w:history="1">
        <w:r w:rsidRPr="00717AF1">
          <w:rPr>
            <w:rFonts w:eastAsiaTheme="minorHAnsi"/>
            <w:color w:val="0563C1" w:themeColor="hyperlink"/>
            <w:u w:val="single"/>
          </w:rPr>
          <w:t>creditcard@od.nih.gov</w:t>
        </w:r>
      </w:hyperlink>
      <w:r w:rsidRPr="00717AF1">
        <w:rPr>
          <w:rFonts w:eastAsiaTheme="minorHAnsi"/>
        </w:rPr>
        <w:t xml:space="preserve"> or 301-435-6606. </w:t>
      </w:r>
    </w:p>
    <w:p w14:paraId="5FD963C8" w14:textId="5522BD52" w:rsidR="005C4057" w:rsidRPr="00717AF1" w:rsidRDefault="005C4057" w:rsidP="004D1E09">
      <w:pPr>
        <w:pStyle w:val="Heading1"/>
        <w:rPr>
          <w:rFonts w:eastAsiaTheme="minorHAnsi"/>
        </w:rPr>
      </w:pPr>
      <w:r w:rsidRPr="00717AF1">
        <w:rPr>
          <w:rFonts w:eastAsiaTheme="minorHAnsi"/>
        </w:rPr>
        <w:t>Price Reasonableness</w:t>
      </w:r>
    </w:p>
    <w:p w14:paraId="4B97B816" w14:textId="77777777" w:rsidR="00717AF1" w:rsidRDefault="005C4057" w:rsidP="004D1E09">
      <w:pPr>
        <w:rPr>
          <w:rFonts w:eastAsiaTheme="minorHAnsi"/>
        </w:rPr>
      </w:pPr>
      <w:r w:rsidRPr="00717AF1">
        <w:rPr>
          <w:rFonts w:eastAsiaTheme="minorHAnsi"/>
        </w:rPr>
        <w:t xml:space="preserve">What is price reasonableness and how do we document it?  </w:t>
      </w:r>
      <w:r w:rsidR="00843C58" w:rsidRPr="00717AF1">
        <w:rPr>
          <w:rFonts w:eastAsiaTheme="minorHAnsi"/>
        </w:rPr>
        <w:t>Price reasonableness is a determination that a </w:t>
      </w:r>
      <w:r w:rsidR="00843C58" w:rsidRPr="00717AF1">
        <w:rPr>
          <w:rFonts w:eastAsiaTheme="minorHAnsi"/>
          <w:bCs/>
        </w:rPr>
        <w:t>price</w:t>
      </w:r>
      <w:r w:rsidR="00843C58" w:rsidRPr="00717AF1">
        <w:rPr>
          <w:rFonts w:eastAsiaTheme="minorHAnsi"/>
        </w:rPr>
        <w:t xml:space="preserve"> is fair and reasonable and equitable to both parties involved in the transaction in terms delivery, quality and any other pertinent factors.  </w:t>
      </w:r>
    </w:p>
    <w:p w14:paraId="13DFC4DF" w14:textId="230013C3" w:rsidR="0066055A" w:rsidRDefault="00717AF1" w:rsidP="004D1E09">
      <w:pPr>
        <w:rPr>
          <w:rFonts w:eastAsiaTheme="minorHAnsi"/>
        </w:rPr>
      </w:pPr>
      <w:r>
        <w:rPr>
          <w:rFonts w:eastAsiaTheme="minorHAnsi"/>
        </w:rPr>
        <w:t xml:space="preserve">Pricing negotiated in </w:t>
      </w:r>
      <w:hyperlink r:id="rId9" w:history="1">
        <w:r w:rsidRPr="0066055A">
          <w:rPr>
            <w:rStyle w:val="Hyperlink"/>
            <w:rFonts w:ascii="Arial" w:eastAsiaTheme="minorHAnsi" w:hAnsi="Arial" w:cs="Arial"/>
            <w:szCs w:val="24"/>
          </w:rPr>
          <w:t>Federal Supply Schedules</w:t>
        </w:r>
      </w:hyperlink>
      <w:r>
        <w:rPr>
          <w:rFonts w:eastAsiaTheme="minorHAnsi"/>
        </w:rPr>
        <w:t xml:space="preserve"> have been determined fair and reasonable </w:t>
      </w:r>
      <w:r w:rsidR="0066055A">
        <w:rPr>
          <w:rFonts w:eastAsiaTheme="minorHAnsi"/>
        </w:rPr>
        <w:t xml:space="preserve">when acquiring supplies, equipment, </w:t>
      </w:r>
      <w:r w:rsidR="006B5279" w:rsidRPr="00717AF1">
        <w:rPr>
          <w:rFonts w:eastAsiaTheme="minorHAnsi"/>
        </w:rPr>
        <w:t>fixed-price services</w:t>
      </w:r>
      <w:r w:rsidR="0066055A">
        <w:rPr>
          <w:rFonts w:eastAsiaTheme="minorHAnsi"/>
        </w:rPr>
        <w:t xml:space="preserve">.  </w:t>
      </w:r>
      <w:r w:rsidR="0066055A" w:rsidRPr="00717AF1">
        <w:rPr>
          <w:rFonts w:eastAsiaTheme="minorHAnsi"/>
        </w:rPr>
        <w:t>Therefore, ordering activities are not required to make a separate determination of fair and reasonable pricing, except for a price evaluation as required by </w:t>
      </w:r>
      <w:hyperlink r:id="rId10" w:anchor="i1117591" w:history="1">
        <w:r w:rsidR="0066055A" w:rsidRPr="00717AF1">
          <w:rPr>
            <w:rStyle w:val="Hyperlink"/>
            <w:rFonts w:ascii="Arial" w:eastAsiaTheme="minorHAnsi" w:hAnsi="Arial" w:cs="Arial"/>
            <w:szCs w:val="24"/>
          </w:rPr>
          <w:t>8.405-2</w:t>
        </w:r>
      </w:hyperlink>
      <w:r w:rsidR="0066055A" w:rsidRPr="00717AF1">
        <w:rPr>
          <w:rFonts w:eastAsiaTheme="minorHAnsi"/>
        </w:rPr>
        <w:t>(d).</w:t>
      </w:r>
      <w:r w:rsidR="0066055A">
        <w:rPr>
          <w:rFonts w:eastAsiaTheme="minorHAnsi"/>
        </w:rPr>
        <w:t xml:space="preserve"> Services not offered at fixed prices will need additional work to establish a fair and reasonable price determination based on an analysis of level of effort, labor mix, and based on fixed hourly rates.  </w:t>
      </w:r>
    </w:p>
    <w:p w14:paraId="484B3540" w14:textId="73FB4EA2" w:rsidR="00930771" w:rsidRPr="00717AF1" w:rsidRDefault="006B5279" w:rsidP="004D1E09">
      <w:pPr>
        <w:rPr>
          <w:rFonts w:eastAsia="Times New Roman"/>
          <w:b/>
          <w:bCs/>
        </w:rPr>
      </w:pPr>
      <w:r w:rsidRPr="00717AF1">
        <w:rPr>
          <w:rFonts w:eastAsiaTheme="minorHAnsi"/>
        </w:rPr>
        <w:t xml:space="preserve">However, </w:t>
      </w:r>
      <w:r w:rsidR="00FD3DED" w:rsidRPr="00717AF1">
        <w:rPr>
          <w:rFonts w:eastAsiaTheme="minorHAnsi"/>
        </w:rPr>
        <w:t xml:space="preserve">for </w:t>
      </w:r>
      <w:r w:rsidRPr="00717AF1">
        <w:rPr>
          <w:rFonts w:eastAsiaTheme="minorHAnsi"/>
        </w:rPr>
        <w:t xml:space="preserve">awards </w:t>
      </w:r>
      <w:r w:rsidR="0066055A">
        <w:rPr>
          <w:rFonts w:eastAsiaTheme="minorHAnsi"/>
        </w:rPr>
        <w:t xml:space="preserve">issued using Simplified Acquisition Procedures (SAP) </w:t>
      </w:r>
      <w:r w:rsidRPr="00717AF1">
        <w:rPr>
          <w:rFonts w:eastAsiaTheme="minorHAnsi"/>
        </w:rPr>
        <w:t xml:space="preserve">FAR Part </w:t>
      </w:r>
      <w:r w:rsidR="00795E52" w:rsidRPr="00717AF1">
        <w:rPr>
          <w:rFonts w:eastAsiaTheme="minorHAnsi"/>
        </w:rPr>
        <w:t>1</w:t>
      </w:r>
      <w:r w:rsidR="00795E52">
        <w:rPr>
          <w:rFonts w:eastAsiaTheme="minorHAnsi"/>
        </w:rPr>
        <w:t>3</w:t>
      </w:r>
      <w:r w:rsidR="00795E52" w:rsidRPr="00717AF1">
        <w:rPr>
          <w:rFonts w:eastAsiaTheme="minorHAnsi"/>
        </w:rPr>
        <w:t xml:space="preserve"> </w:t>
      </w:r>
      <w:r w:rsidR="00795E52">
        <w:rPr>
          <w:rFonts w:eastAsiaTheme="minorHAnsi"/>
        </w:rPr>
        <w:t>and</w:t>
      </w:r>
      <w:r w:rsidR="0066055A">
        <w:rPr>
          <w:rFonts w:eastAsiaTheme="minorHAnsi"/>
        </w:rPr>
        <w:t xml:space="preserve"> FAR </w:t>
      </w:r>
      <w:r w:rsidR="00930771">
        <w:rPr>
          <w:rFonts w:eastAsiaTheme="minorHAnsi"/>
        </w:rPr>
        <w:t xml:space="preserve">Part 13 and 12, fair and reasonable process must be determined for each buy. </w:t>
      </w:r>
      <w:r w:rsidR="005B7B90" w:rsidRPr="00717AF1">
        <w:rPr>
          <w:rFonts w:eastAsiaTheme="minorHAnsi"/>
        </w:rPr>
        <w:t xml:space="preserve"> </w:t>
      </w:r>
      <w:r w:rsidRPr="00717AF1">
        <w:rPr>
          <w:rFonts w:eastAsiaTheme="minorHAnsi"/>
        </w:rPr>
        <w:t xml:space="preserve"> </w:t>
      </w:r>
      <w:r w:rsidR="00930771">
        <w:rPr>
          <w:rFonts w:eastAsiaTheme="minorHAnsi"/>
        </w:rPr>
        <w:t xml:space="preserve">The best way to determine a price fair and reasonable is through competitive quotations or </w:t>
      </w:r>
      <w:r w:rsidR="00795E52">
        <w:rPr>
          <w:rFonts w:eastAsiaTheme="minorHAnsi"/>
        </w:rPr>
        <w:t>offers</w:t>
      </w:r>
      <w:r w:rsidR="00930771">
        <w:rPr>
          <w:rFonts w:eastAsiaTheme="minorHAnsi"/>
        </w:rPr>
        <w:t xml:space="preserve">. Where competitive quotations are not available, procurement professionals will employ other techniques. Found in </w:t>
      </w:r>
      <w:r w:rsidR="00930771" w:rsidRPr="004D1E09">
        <w:rPr>
          <w:rFonts w:eastAsia="Times New Roman"/>
          <w:b/>
          <w:bCs/>
        </w:rPr>
        <w:t>FAR Subpart</w:t>
      </w:r>
      <w:r w:rsidR="00930771" w:rsidRPr="004D1E09">
        <w:rPr>
          <w:rStyle w:val="Hyperlink"/>
          <w:rFonts w:ascii="Arial" w:eastAsiaTheme="minorHAnsi" w:hAnsi="Arial" w:cs="Arial"/>
          <w:szCs w:val="24"/>
          <w:u w:val="none"/>
        </w:rPr>
        <w:t xml:space="preserve"> </w:t>
      </w:r>
      <w:r w:rsidR="00930771" w:rsidRPr="004D1E09">
        <w:rPr>
          <w:rStyle w:val="Hyperlink"/>
          <w:rFonts w:ascii="Arial" w:eastAsiaTheme="minorHAnsi" w:hAnsi="Arial" w:cs="Arial"/>
          <w:szCs w:val="24"/>
        </w:rPr>
        <w:t>8.404(d)</w:t>
      </w:r>
      <w:r w:rsidR="00930771" w:rsidRPr="00717AF1">
        <w:rPr>
          <w:rFonts w:eastAsia="Times New Roman"/>
          <w:b/>
          <w:bCs/>
        </w:rPr>
        <w:t xml:space="preserve">, </w:t>
      </w:r>
      <w:r w:rsidR="00930771">
        <w:rPr>
          <w:rFonts w:eastAsia="Times New Roman"/>
          <w:b/>
          <w:bCs/>
        </w:rPr>
        <w:t xml:space="preserve">FAR Subpart </w:t>
      </w:r>
      <w:hyperlink r:id="rId11" w:anchor="wp1087414" w:history="1">
        <w:r w:rsidR="00930771" w:rsidRPr="004D1E09">
          <w:rPr>
            <w:rStyle w:val="Hyperlink"/>
            <w:rFonts w:ascii="Arial" w:eastAsiaTheme="minorHAnsi" w:hAnsi="Arial" w:cs="Arial"/>
            <w:szCs w:val="24"/>
          </w:rPr>
          <w:t>12.209</w:t>
        </w:r>
      </w:hyperlink>
      <w:r w:rsidR="00930771" w:rsidRPr="00717AF1">
        <w:rPr>
          <w:rFonts w:eastAsia="Times New Roman"/>
          <w:b/>
          <w:bCs/>
        </w:rPr>
        <w:t xml:space="preserve">, </w:t>
      </w:r>
      <w:r w:rsidR="00930771">
        <w:rPr>
          <w:rFonts w:eastAsia="Times New Roman"/>
          <w:b/>
          <w:bCs/>
        </w:rPr>
        <w:t>and F</w:t>
      </w:r>
      <w:r w:rsidR="00795E52">
        <w:rPr>
          <w:rFonts w:eastAsia="Times New Roman"/>
          <w:b/>
          <w:bCs/>
        </w:rPr>
        <w:t>AR</w:t>
      </w:r>
      <w:r w:rsidR="00930771">
        <w:rPr>
          <w:rFonts w:eastAsia="Times New Roman"/>
          <w:b/>
          <w:bCs/>
        </w:rPr>
        <w:t xml:space="preserve"> Subpart </w:t>
      </w:r>
      <w:hyperlink r:id="rId12" w:anchor="wp1125503" w:history="1">
        <w:r w:rsidR="00930771" w:rsidRPr="004D1E09">
          <w:rPr>
            <w:rStyle w:val="Hyperlink"/>
            <w:rFonts w:ascii="Arial" w:eastAsiaTheme="minorHAnsi" w:hAnsi="Arial" w:cs="Arial"/>
            <w:szCs w:val="24"/>
          </w:rPr>
          <w:t>13.106-3</w:t>
        </w:r>
      </w:hyperlink>
      <w:r w:rsidR="00930771" w:rsidRPr="004D1E09">
        <w:rPr>
          <w:rFonts w:eastAsia="Times New Roman"/>
          <w:bCs/>
        </w:rPr>
        <w:t>.</w:t>
      </w:r>
    </w:p>
    <w:p w14:paraId="4A7868D1" w14:textId="10E09CD3" w:rsidR="00F11E90" w:rsidRPr="00717AF1" w:rsidRDefault="00F11E90" w:rsidP="004D1E09">
      <w:pPr>
        <w:pStyle w:val="Heading1"/>
        <w:rPr>
          <w:rFonts w:eastAsiaTheme="minorHAnsi"/>
        </w:rPr>
      </w:pPr>
      <w:r w:rsidRPr="00717AF1">
        <w:rPr>
          <w:rFonts w:eastAsiaTheme="minorHAnsi"/>
        </w:rPr>
        <w:t>Wage Determinations</w:t>
      </w:r>
    </w:p>
    <w:p w14:paraId="14F08484" w14:textId="544E62E5" w:rsidR="00722118" w:rsidRPr="00717AF1" w:rsidRDefault="00043011" w:rsidP="004D1E09">
      <w:pPr>
        <w:rPr>
          <w:rFonts w:eastAsia="Times New Roman"/>
        </w:rPr>
      </w:pPr>
      <w:r w:rsidRPr="00717AF1">
        <w:rPr>
          <w:rFonts w:eastAsia="Times New Roman"/>
        </w:rPr>
        <w:t xml:space="preserve">Wage Determinations OnLine.gov (WDOL.gov) will be decommissioned on June 13, 2019. The government is continuing to streamline </w:t>
      </w:r>
      <w:r w:rsidR="0064351D" w:rsidRPr="00717AF1">
        <w:rPr>
          <w:rFonts w:eastAsia="Times New Roman"/>
        </w:rPr>
        <w:t>multiple</w:t>
      </w:r>
      <w:r w:rsidR="00722118" w:rsidRPr="00717AF1">
        <w:rPr>
          <w:rFonts w:eastAsia="Times New Roman"/>
        </w:rPr>
        <w:t xml:space="preserve"> processes into one system.  Beginning June,13, 2019 users will be able to accomplish the same things that they did in WDOL.gov</w:t>
      </w:r>
      <w:r w:rsidR="00977E6D" w:rsidRPr="00717AF1">
        <w:rPr>
          <w:rFonts w:eastAsia="Times New Roman"/>
        </w:rPr>
        <w:t xml:space="preserve"> in </w:t>
      </w:r>
      <w:r w:rsidR="00722118" w:rsidRPr="00717AF1">
        <w:rPr>
          <w:rFonts w:eastAsia="Times New Roman"/>
        </w:rPr>
        <w:t xml:space="preserve">beta SAM.gov.  The beta SAM.gov will be the </w:t>
      </w:r>
      <w:r w:rsidR="00977E6D" w:rsidRPr="00717AF1">
        <w:rPr>
          <w:rFonts w:eastAsia="Times New Roman"/>
        </w:rPr>
        <w:t xml:space="preserve">official </w:t>
      </w:r>
      <w:r w:rsidR="00722118" w:rsidRPr="00717AF1">
        <w:rPr>
          <w:rFonts w:eastAsia="Times New Roman"/>
        </w:rPr>
        <w:t xml:space="preserve">source for wage determinations.  </w:t>
      </w:r>
    </w:p>
    <w:p w14:paraId="6A187ABE" w14:textId="051141EC" w:rsidR="00043011" w:rsidRPr="00717AF1" w:rsidRDefault="00977E6D" w:rsidP="004D1E09">
      <w:pPr>
        <w:rPr>
          <w:rFonts w:eastAsia="Times New Roman"/>
          <w:color w:val="4C4C4C"/>
        </w:rPr>
      </w:pPr>
      <w:r w:rsidRPr="00717AF1">
        <w:rPr>
          <w:rFonts w:eastAsia="Times New Roman"/>
        </w:rPr>
        <w:t>The functionality will now be under the category (Wage Determinations).  To learn more about the new WDOL functionality you can access the Learning Center on the site.</w:t>
      </w:r>
    </w:p>
    <w:p w14:paraId="7162A75D" w14:textId="6692A32A" w:rsidR="00043011" w:rsidRPr="004D1E09" w:rsidRDefault="00977E6D" w:rsidP="004D1E09">
      <w:r w:rsidRPr="004D1E09">
        <w:t>Once</w:t>
      </w:r>
      <w:r w:rsidR="00043011" w:rsidRPr="004D1E09">
        <w:t xml:space="preserve"> decommission</w:t>
      </w:r>
      <w:r w:rsidRPr="004D1E09">
        <w:t xml:space="preserve">ed, </w:t>
      </w:r>
      <w:r w:rsidR="00043011" w:rsidRPr="004D1E09">
        <w:t xml:space="preserve">WDOL.gov, users will automatically be redirected to </w:t>
      </w:r>
      <w:hyperlink r:id="rId13" w:history="1">
        <w:r w:rsidRPr="004D1E09">
          <w:rPr>
            <w:rStyle w:val="Hyperlink"/>
          </w:rPr>
          <w:t>beta.Sam.gov</w:t>
        </w:r>
      </w:hyperlink>
      <w:r w:rsidR="00957FA8" w:rsidRPr="004D1E09">
        <w:t xml:space="preserve"> </w:t>
      </w:r>
      <w:r w:rsidR="00043011" w:rsidRPr="004D1E09">
        <w:t>The redirect page assists with the transition by providing easy access to:</w:t>
      </w:r>
    </w:p>
    <w:p w14:paraId="70BB9238" w14:textId="77777777" w:rsidR="00043011" w:rsidRPr="00717AF1" w:rsidRDefault="00043011" w:rsidP="004D1E09">
      <w:pPr>
        <w:pStyle w:val="ListParagraph"/>
        <w:numPr>
          <w:ilvl w:val="0"/>
          <w:numId w:val="8"/>
        </w:numPr>
        <w:ind w:left="630"/>
        <w:rPr>
          <w:rFonts w:eastAsia="Times New Roman"/>
          <w:color w:val="4C4C4C"/>
        </w:rPr>
      </w:pPr>
      <w:r w:rsidRPr="00717AF1">
        <w:rPr>
          <w:rFonts w:eastAsia="Times New Roman"/>
        </w:rPr>
        <w:t>Wage determination search</w:t>
      </w:r>
    </w:p>
    <w:p w14:paraId="66E573CA" w14:textId="77777777" w:rsidR="00043011" w:rsidRPr="00717AF1" w:rsidRDefault="00043011" w:rsidP="004D1E09">
      <w:pPr>
        <w:pStyle w:val="ListParagraph"/>
        <w:numPr>
          <w:ilvl w:val="0"/>
          <w:numId w:val="8"/>
        </w:numPr>
        <w:ind w:left="630"/>
        <w:rPr>
          <w:rFonts w:eastAsia="Times New Roman"/>
          <w:color w:val="4C4C4C"/>
        </w:rPr>
      </w:pPr>
      <w:r w:rsidRPr="00717AF1">
        <w:rPr>
          <w:rFonts w:eastAsia="Times New Roman"/>
        </w:rPr>
        <w:t>Learning Center for training information</w:t>
      </w:r>
    </w:p>
    <w:p w14:paraId="0B97F98F" w14:textId="77777777" w:rsidR="00043011" w:rsidRPr="00717AF1" w:rsidRDefault="00043011" w:rsidP="004D1E09">
      <w:pPr>
        <w:pStyle w:val="ListParagraph"/>
        <w:numPr>
          <w:ilvl w:val="0"/>
          <w:numId w:val="8"/>
        </w:numPr>
        <w:ind w:left="630"/>
        <w:rPr>
          <w:rFonts w:eastAsia="Times New Roman"/>
          <w:color w:val="4C4C4C"/>
        </w:rPr>
      </w:pPr>
      <w:proofErr w:type="spellStart"/>
      <w:r w:rsidRPr="00717AF1">
        <w:rPr>
          <w:rFonts w:eastAsia="Times New Roman"/>
        </w:rPr>
        <w:t>Quickstart</w:t>
      </w:r>
      <w:proofErr w:type="spellEnd"/>
      <w:r w:rsidRPr="00717AF1">
        <w:rPr>
          <w:rFonts w:eastAsia="Times New Roman"/>
        </w:rPr>
        <w:t xml:space="preserve"> Guide</w:t>
      </w:r>
    </w:p>
    <w:p w14:paraId="604D8903" w14:textId="77777777" w:rsidR="00043011" w:rsidRPr="00717AF1" w:rsidRDefault="00043011" w:rsidP="004D1E09">
      <w:pPr>
        <w:pStyle w:val="ListParagraph"/>
        <w:numPr>
          <w:ilvl w:val="0"/>
          <w:numId w:val="8"/>
        </w:numPr>
        <w:ind w:left="630"/>
        <w:rPr>
          <w:rFonts w:eastAsia="Times New Roman"/>
          <w:color w:val="4C4C4C"/>
        </w:rPr>
      </w:pPr>
      <w:r w:rsidRPr="00717AF1">
        <w:rPr>
          <w:rFonts w:eastAsia="Times New Roman"/>
        </w:rPr>
        <w:t>WD Transitional Video</w:t>
      </w:r>
    </w:p>
    <w:p w14:paraId="37D389F6" w14:textId="7887D8A2" w:rsidR="00043011" w:rsidRDefault="00043011" w:rsidP="004D1E09">
      <w:pPr>
        <w:rPr>
          <w:rFonts w:eastAsiaTheme="minorHAnsi"/>
        </w:rPr>
      </w:pPr>
    </w:p>
    <w:p w14:paraId="456EE59C" w14:textId="579778F7" w:rsidR="00575564" w:rsidRPr="00575564" w:rsidRDefault="00575564" w:rsidP="004D1E09">
      <w:pPr>
        <w:pStyle w:val="Heading1"/>
        <w:rPr>
          <w:rFonts w:eastAsiaTheme="minorHAnsi"/>
        </w:rPr>
      </w:pPr>
      <w:r w:rsidRPr="00575564">
        <w:rPr>
          <w:rFonts w:eastAsiaTheme="minorHAnsi"/>
        </w:rPr>
        <w:lastRenderedPageBreak/>
        <w:t>Recap Corner</w:t>
      </w:r>
    </w:p>
    <w:p w14:paraId="7B10CEB1" w14:textId="77777777" w:rsidR="00575564" w:rsidRPr="00575564" w:rsidRDefault="00575564" w:rsidP="004D1E09">
      <w:pPr>
        <w:rPr>
          <w:rFonts w:eastAsia="Calibri"/>
        </w:rPr>
      </w:pPr>
      <w:r w:rsidRPr="00575564">
        <w:rPr>
          <w:rFonts w:eastAsia="Calibri"/>
        </w:rPr>
        <w:t>Below is a recap of recent OALM communications to the NIH acquisition workforce.</w:t>
      </w:r>
    </w:p>
    <w:tbl>
      <w:tblPr>
        <w:tblStyle w:val="TableGrid"/>
        <w:tblW w:w="10885" w:type="dxa"/>
        <w:tblInd w:w="-725" w:type="dxa"/>
        <w:tblLayout w:type="fixed"/>
        <w:tblLook w:val="04A0" w:firstRow="1" w:lastRow="0" w:firstColumn="1" w:lastColumn="0" w:noHBand="0" w:noVBand="1"/>
      </w:tblPr>
      <w:tblGrid>
        <w:gridCol w:w="890"/>
        <w:gridCol w:w="3510"/>
        <w:gridCol w:w="1350"/>
        <w:gridCol w:w="5135"/>
      </w:tblGrid>
      <w:tr w:rsidR="00575564" w:rsidRPr="00224E70" w14:paraId="3AA4B8F3" w14:textId="77777777" w:rsidTr="004D1E09">
        <w:trPr>
          <w:trHeight w:val="310"/>
        </w:trPr>
        <w:tc>
          <w:tcPr>
            <w:tcW w:w="890" w:type="dxa"/>
            <w:noWrap/>
            <w:hideMark/>
          </w:tcPr>
          <w:p w14:paraId="64F35917" w14:textId="77777777" w:rsidR="00575564" w:rsidRPr="00224E70" w:rsidRDefault="00575564" w:rsidP="004D1E09">
            <w:r w:rsidRPr="00224E70">
              <w:t>ID</w:t>
            </w:r>
          </w:p>
        </w:tc>
        <w:tc>
          <w:tcPr>
            <w:tcW w:w="3510" w:type="dxa"/>
            <w:noWrap/>
            <w:hideMark/>
          </w:tcPr>
          <w:p w14:paraId="66ADBB91" w14:textId="77777777" w:rsidR="00575564" w:rsidRPr="00224E70" w:rsidRDefault="00575564" w:rsidP="004D1E09">
            <w:r w:rsidRPr="00224E70">
              <w:t>Title</w:t>
            </w:r>
          </w:p>
        </w:tc>
        <w:tc>
          <w:tcPr>
            <w:tcW w:w="1350" w:type="dxa"/>
            <w:noWrap/>
            <w:hideMark/>
          </w:tcPr>
          <w:p w14:paraId="32019F50" w14:textId="77777777" w:rsidR="00575564" w:rsidRPr="00224E70" w:rsidRDefault="00575564" w:rsidP="004D1E09">
            <w:r w:rsidRPr="00224E70">
              <w:t>Date</w:t>
            </w:r>
          </w:p>
        </w:tc>
        <w:tc>
          <w:tcPr>
            <w:tcW w:w="5135" w:type="dxa"/>
          </w:tcPr>
          <w:p w14:paraId="0349A0A6" w14:textId="77777777" w:rsidR="00575564" w:rsidRPr="00224E70" w:rsidRDefault="00575564" w:rsidP="004D1E09">
            <w:r>
              <w:tab/>
              <w:t>Purpose</w:t>
            </w:r>
          </w:p>
        </w:tc>
      </w:tr>
      <w:tr w:rsidR="00575564" w:rsidRPr="00224E70" w14:paraId="0DE17BF5" w14:textId="77777777" w:rsidTr="004D1E09">
        <w:trPr>
          <w:trHeight w:val="580"/>
        </w:trPr>
        <w:tc>
          <w:tcPr>
            <w:tcW w:w="890" w:type="dxa"/>
            <w:noWrap/>
            <w:hideMark/>
          </w:tcPr>
          <w:p w14:paraId="5C582868" w14:textId="2F6F5C7D" w:rsidR="00575564" w:rsidRPr="00224E70" w:rsidRDefault="00575564" w:rsidP="004D1E09">
            <w:r w:rsidRPr="00224E70">
              <w:t>19-</w:t>
            </w:r>
            <w:r w:rsidR="0089275C">
              <w:t>27</w:t>
            </w:r>
          </w:p>
        </w:tc>
        <w:tc>
          <w:tcPr>
            <w:tcW w:w="3510" w:type="dxa"/>
            <w:noWrap/>
            <w:hideMark/>
          </w:tcPr>
          <w:p w14:paraId="3D12FE5D" w14:textId="6CB55EFA" w:rsidR="00575564" w:rsidRPr="00224E70" w:rsidRDefault="0089275C" w:rsidP="004D1E09">
            <w:r>
              <w:t>Unmatched SmartPay</w:t>
            </w:r>
            <w:r w:rsidR="009F4A2D">
              <w:t>2</w:t>
            </w:r>
            <w:r>
              <w:t xml:space="preserve"> transactions as of February 8. 2019</w:t>
            </w:r>
          </w:p>
        </w:tc>
        <w:tc>
          <w:tcPr>
            <w:tcW w:w="1350" w:type="dxa"/>
            <w:noWrap/>
            <w:hideMark/>
          </w:tcPr>
          <w:p w14:paraId="1CB514CC" w14:textId="4279D92F" w:rsidR="00575564" w:rsidRPr="00224E70" w:rsidRDefault="0089275C" w:rsidP="004D1E09">
            <w:r>
              <w:t>2/8/19</w:t>
            </w:r>
          </w:p>
        </w:tc>
        <w:tc>
          <w:tcPr>
            <w:tcW w:w="5135" w:type="dxa"/>
          </w:tcPr>
          <w:p w14:paraId="69EB95DF" w14:textId="6931E11C" w:rsidR="00575564" w:rsidRPr="00224E70" w:rsidRDefault="00575564" w:rsidP="004D1E09">
            <w:r>
              <w:t xml:space="preserve">Provided information on the </w:t>
            </w:r>
            <w:r w:rsidR="00850213">
              <w:t xml:space="preserve">unmatched </w:t>
            </w:r>
            <w:r>
              <w:t>SP</w:t>
            </w:r>
            <w:r w:rsidR="00850213">
              <w:t xml:space="preserve">2/JP Morgan </w:t>
            </w:r>
            <w:r>
              <w:t>transition</w:t>
            </w:r>
            <w:r w:rsidR="00850213">
              <w:t>s</w:t>
            </w:r>
            <w:r>
              <w:t>.</w:t>
            </w:r>
          </w:p>
        </w:tc>
      </w:tr>
      <w:tr w:rsidR="00575564" w:rsidRPr="00224E70" w14:paraId="3FD95119" w14:textId="77777777" w:rsidTr="004D1E09">
        <w:trPr>
          <w:trHeight w:val="290"/>
        </w:trPr>
        <w:tc>
          <w:tcPr>
            <w:tcW w:w="890" w:type="dxa"/>
            <w:noWrap/>
            <w:hideMark/>
          </w:tcPr>
          <w:p w14:paraId="1E5D27B8" w14:textId="78433C99" w:rsidR="00575564" w:rsidRPr="00224E70" w:rsidRDefault="00575564" w:rsidP="004D1E09">
            <w:r w:rsidRPr="00224E70">
              <w:t>19-</w:t>
            </w:r>
            <w:r w:rsidR="0089275C">
              <w:t>28</w:t>
            </w:r>
          </w:p>
        </w:tc>
        <w:tc>
          <w:tcPr>
            <w:tcW w:w="3510" w:type="dxa"/>
            <w:noWrap/>
            <w:hideMark/>
          </w:tcPr>
          <w:p w14:paraId="76C97CC8" w14:textId="0EDD04BD" w:rsidR="00575564" w:rsidRPr="00224E70" w:rsidRDefault="00850213" w:rsidP="004D1E09">
            <w:r>
              <w:t>Temporary Access in NBS to match SP2 transactions for Feb and March purchase card statements on February 19-20</w:t>
            </w:r>
          </w:p>
        </w:tc>
        <w:tc>
          <w:tcPr>
            <w:tcW w:w="1350" w:type="dxa"/>
            <w:noWrap/>
            <w:hideMark/>
          </w:tcPr>
          <w:p w14:paraId="2AC4F4AD" w14:textId="71BDF7E1" w:rsidR="00575564" w:rsidRPr="00224E70" w:rsidRDefault="00850213" w:rsidP="004D1E09">
            <w:r>
              <w:t>2</w:t>
            </w:r>
            <w:r w:rsidR="00575564">
              <w:t>/</w:t>
            </w:r>
            <w:r>
              <w:t>1</w:t>
            </w:r>
            <w:r w:rsidR="00575564" w:rsidRPr="00224E70">
              <w:t>5</w:t>
            </w:r>
            <w:r w:rsidR="00575564">
              <w:t>/</w:t>
            </w:r>
            <w:r w:rsidR="00575564" w:rsidRPr="00224E70">
              <w:t>1</w:t>
            </w:r>
            <w:r w:rsidR="009F4A2D">
              <w:t>9</w:t>
            </w:r>
          </w:p>
        </w:tc>
        <w:tc>
          <w:tcPr>
            <w:tcW w:w="5135" w:type="dxa"/>
          </w:tcPr>
          <w:p w14:paraId="60EB599A" w14:textId="78606754" w:rsidR="00575564" w:rsidRPr="00224E70" w:rsidRDefault="00575564" w:rsidP="004D1E09">
            <w:r>
              <w:t xml:space="preserve">Provided </w:t>
            </w:r>
            <w:r w:rsidR="009F4A2D">
              <w:t xml:space="preserve">information on the temporary enabling of NIH iProcurement External – JPMorgan only responsibility for all purchase cardholders.  </w:t>
            </w:r>
          </w:p>
        </w:tc>
      </w:tr>
      <w:tr w:rsidR="00575564" w:rsidRPr="00224E70" w14:paraId="78745037" w14:textId="77777777" w:rsidTr="004D1E09">
        <w:trPr>
          <w:trHeight w:val="290"/>
        </w:trPr>
        <w:tc>
          <w:tcPr>
            <w:tcW w:w="890" w:type="dxa"/>
            <w:noWrap/>
            <w:hideMark/>
          </w:tcPr>
          <w:p w14:paraId="0F08F1FE" w14:textId="02FA2A78" w:rsidR="00575564" w:rsidRPr="00224E70" w:rsidRDefault="00575564" w:rsidP="004D1E09">
            <w:r w:rsidRPr="00224E70">
              <w:t>19-</w:t>
            </w:r>
            <w:r w:rsidR="0089275C">
              <w:t>29</w:t>
            </w:r>
          </w:p>
        </w:tc>
        <w:tc>
          <w:tcPr>
            <w:tcW w:w="3510" w:type="dxa"/>
            <w:noWrap/>
            <w:hideMark/>
          </w:tcPr>
          <w:p w14:paraId="653862CE" w14:textId="14760F5C" w:rsidR="00575564" w:rsidRPr="00224E70" w:rsidRDefault="009F4A2D" w:rsidP="004D1E09">
            <w:r>
              <w:t>Purchase Car</w:t>
            </w:r>
            <w:r w:rsidR="000A3C8F">
              <w:t>d Reconciliation Deadline Extended</w:t>
            </w:r>
          </w:p>
        </w:tc>
        <w:tc>
          <w:tcPr>
            <w:tcW w:w="1350" w:type="dxa"/>
            <w:noWrap/>
            <w:hideMark/>
          </w:tcPr>
          <w:p w14:paraId="3F336841" w14:textId="26D7D232" w:rsidR="00575564" w:rsidRPr="00224E70" w:rsidRDefault="000A3C8F" w:rsidP="004D1E09">
            <w:r>
              <w:t>2/21/19</w:t>
            </w:r>
          </w:p>
        </w:tc>
        <w:tc>
          <w:tcPr>
            <w:tcW w:w="5135" w:type="dxa"/>
          </w:tcPr>
          <w:p w14:paraId="32336346" w14:textId="3ADC7A22" w:rsidR="00575564" w:rsidRPr="00224E70" w:rsidRDefault="000A3C8F" w:rsidP="004D1E09">
            <w:r>
              <w:t>Provided extension of the purchase card reconciliation deadline to 5:00 PM February 21.</w:t>
            </w:r>
          </w:p>
        </w:tc>
      </w:tr>
      <w:tr w:rsidR="00575564" w:rsidRPr="00224E70" w14:paraId="5CCBE273" w14:textId="77777777" w:rsidTr="004D1E09">
        <w:trPr>
          <w:trHeight w:val="290"/>
        </w:trPr>
        <w:tc>
          <w:tcPr>
            <w:tcW w:w="890" w:type="dxa"/>
            <w:noWrap/>
            <w:hideMark/>
          </w:tcPr>
          <w:p w14:paraId="21363B61" w14:textId="07E7B529" w:rsidR="00575564" w:rsidRPr="00224E70" w:rsidRDefault="00575564" w:rsidP="004D1E09">
            <w:r w:rsidRPr="00224E70">
              <w:t>19-</w:t>
            </w:r>
            <w:r w:rsidR="0089275C">
              <w:t>30</w:t>
            </w:r>
          </w:p>
        </w:tc>
        <w:tc>
          <w:tcPr>
            <w:tcW w:w="3510" w:type="dxa"/>
            <w:noWrap/>
            <w:hideMark/>
          </w:tcPr>
          <w:p w14:paraId="3890B335" w14:textId="52907F8A" w:rsidR="00575564" w:rsidRPr="00224E70" w:rsidRDefault="000A3C8F" w:rsidP="004D1E09">
            <w:r>
              <w:t>FY 2014 Cancelling Year Lines</w:t>
            </w:r>
          </w:p>
        </w:tc>
        <w:tc>
          <w:tcPr>
            <w:tcW w:w="1350" w:type="dxa"/>
            <w:noWrap/>
            <w:hideMark/>
          </w:tcPr>
          <w:p w14:paraId="2237D039" w14:textId="4DC33040" w:rsidR="00575564" w:rsidRPr="00224E70" w:rsidRDefault="000A3C8F" w:rsidP="004D1E09">
            <w:r>
              <w:t>3/4/19</w:t>
            </w:r>
          </w:p>
        </w:tc>
        <w:tc>
          <w:tcPr>
            <w:tcW w:w="5135" w:type="dxa"/>
          </w:tcPr>
          <w:p w14:paraId="523BD79F" w14:textId="4537A306" w:rsidR="00575564" w:rsidRPr="00224E70" w:rsidRDefault="000A3C8F" w:rsidP="004D1E09">
            <w:r>
              <w:t>Provide update on the FY 2014 Canceling Year Lines</w:t>
            </w:r>
          </w:p>
        </w:tc>
      </w:tr>
      <w:tr w:rsidR="00575564" w:rsidRPr="00224E70" w14:paraId="71D4CE2A" w14:textId="77777777" w:rsidTr="004D1E09">
        <w:trPr>
          <w:trHeight w:val="580"/>
        </w:trPr>
        <w:tc>
          <w:tcPr>
            <w:tcW w:w="890" w:type="dxa"/>
            <w:noWrap/>
            <w:hideMark/>
          </w:tcPr>
          <w:p w14:paraId="14BB4101" w14:textId="024FB756" w:rsidR="00575564" w:rsidRPr="00224E70" w:rsidRDefault="00575564" w:rsidP="004D1E09">
            <w:r w:rsidRPr="00224E70">
              <w:t>19-</w:t>
            </w:r>
            <w:r w:rsidR="0089275C">
              <w:t>3</w:t>
            </w:r>
            <w:r w:rsidR="00676A6F">
              <w:t>1</w:t>
            </w:r>
          </w:p>
        </w:tc>
        <w:tc>
          <w:tcPr>
            <w:tcW w:w="3510" w:type="dxa"/>
            <w:noWrap/>
            <w:hideMark/>
          </w:tcPr>
          <w:p w14:paraId="6EB97410" w14:textId="2A442397" w:rsidR="00575564" w:rsidRPr="00224E70" w:rsidRDefault="000A3C8F" w:rsidP="004D1E09">
            <w:r>
              <w:t>PRISM Effective Date Configuration Change</w:t>
            </w:r>
            <w:r w:rsidR="00575564" w:rsidRPr="00224E70">
              <w:t xml:space="preserve"> </w:t>
            </w:r>
          </w:p>
        </w:tc>
        <w:tc>
          <w:tcPr>
            <w:tcW w:w="1350" w:type="dxa"/>
            <w:noWrap/>
            <w:hideMark/>
          </w:tcPr>
          <w:p w14:paraId="5BA68C90" w14:textId="1B22AAB4" w:rsidR="00575564" w:rsidRPr="00224E70" w:rsidRDefault="000A3C8F" w:rsidP="004D1E09">
            <w:r>
              <w:t>3/11/19</w:t>
            </w:r>
          </w:p>
        </w:tc>
        <w:tc>
          <w:tcPr>
            <w:tcW w:w="5135" w:type="dxa"/>
          </w:tcPr>
          <w:p w14:paraId="1F6B48CE" w14:textId="5AA81D30" w:rsidR="00575564" w:rsidRPr="00224E70" w:rsidRDefault="00BF5EFA" w:rsidP="004D1E09">
            <w:r>
              <w:t>Provided information on the PRISM effective date change to populate DCIS Item 2A.</w:t>
            </w:r>
          </w:p>
        </w:tc>
      </w:tr>
      <w:tr w:rsidR="00575564" w:rsidRPr="00224E70" w14:paraId="5FAC834B" w14:textId="77777777" w:rsidTr="004D1E09">
        <w:trPr>
          <w:trHeight w:val="290"/>
        </w:trPr>
        <w:tc>
          <w:tcPr>
            <w:tcW w:w="890" w:type="dxa"/>
            <w:noWrap/>
            <w:hideMark/>
          </w:tcPr>
          <w:p w14:paraId="0BF61E77" w14:textId="2F37EEAB" w:rsidR="00575564" w:rsidRPr="00224E70" w:rsidRDefault="00575564" w:rsidP="004D1E09">
            <w:r w:rsidRPr="00224E70">
              <w:t>19-</w:t>
            </w:r>
            <w:r w:rsidR="00676A6F">
              <w:t>32</w:t>
            </w:r>
          </w:p>
        </w:tc>
        <w:tc>
          <w:tcPr>
            <w:tcW w:w="3510" w:type="dxa"/>
            <w:noWrap/>
            <w:hideMark/>
          </w:tcPr>
          <w:p w14:paraId="7BFB82C9" w14:textId="3C937A7B" w:rsidR="00575564" w:rsidRPr="00224E70" w:rsidRDefault="00BF5EFA" w:rsidP="004D1E09">
            <w:r>
              <w:t>FY 2014 Cancelling Year Lines</w:t>
            </w:r>
          </w:p>
        </w:tc>
        <w:tc>
          <w:tcPr>
            <w:tcW w:w="1350" w:type="dxa"/>
            <w:noWrap/>
            <w:hideMark/>
          </w:tcPr>
          <w:p w14:paraId="7AD544C3" w14:textId="41E76BC5" w:rsidR="00575564" w:rsidRPr="00224E70" w:rsidRDefault="00BF5EFA" w:rsidP="004D1E09">
            <w:r>
              <w:t>3/26/19</w:t>
            </w:r>
          </w:p>
        </w:tc>
        <w:tc>
          <w:tcPr>
            <w:tcW w:w="5135" w:type="dxa"/>
          </w:tcPr>
          <w:p w14:paraId="62BBF4D5" w14:textId="6C5C76D1" w:rsidR="00575564" w:rsidRPr="00224E70" w:rsidRDefault="00BF5EFA" w:rsidP="004D1E09">
            <w:r>
              <w:t>Provide update on the FY 2014 Canceling Year Lines</w:t>
            </w:r>
          </w:p>
        </w:tc>
      </w:tr>
      <w:tr w:rsidR="00575564" w:rsidRPr="00224E70" w14:paraId="2297DB2F" w14:textId="77777777" w:rsidTr="004D1E09">
        <w:trPr>
          <w:trHeight w:val="290"/>
        </w:trPr>
        <w:tc>
          <w:tcPr>
            <w:tcW w:w="890" w:type="dxa"/>
            <w:noWrap/>
            <w:hideMark/>
          </w:tcPr>
          <w:p w14:paraId="7835AE02" w14:textId="2F08122E" w:rsidR="00575564" w:rsidRPr="00224E70" w:rsidRDefault="00575564" w:rsidP="004D1E09">
            <w:r w:rsidRPr="00224E70">
              <w:t>19-</w:t>
            </w:r>
            <w:r w:rsidR="00676A6F">
              <w:t>33</w:t>
            </w:r>
          </w:p>
        </w:tc>
        <w:tc>
          <w:tcPr>
            <w:tcW w:w="3510" w:type="dxa"/>
            <w:noWrap/>
            <w:hideMark/>
          </w:tcPr>
          <w:p w14:paraId="3E6173CB" w14:textId="2EEF3C10" w:rsidR="00575564" w:rsidRPr="00224E70" w:rsidRDefault="00BF5EFA" w:rsidP="004D1E09">
            <w:r>
              <w:t>FY 2014 Cancelling Year Lines</w:t>
            </w:r>
          </w:p>
        </w:tc>
        <w:tc>
          <w:tcPr>
            <w:tcW w:w="1350" w:type="dxa"/>
            <w:noWrap/>
            <w:hideMark/>
          </w:tcPr>
          <w:p w14:paraId="3BA41055" w14:textId="7BDCF824" w:rsidR="00575564" w:rsidRPr="00224E70" w:rsidRDefault="00BF5EFA" w:rsidP="004D1E09">
            <w:r>
              <w:t>4/8/19</w:t>
            </w:r>
          </w:p>
        </w:tc>
        <w:tc>
          <w:tcPr>
            <w:tcW w:w="5135" w:type="dxa"/>
          </w:tcPr>
          <w:p w14:paraId="201361B3" w14:textId="429F7E02" w:rsidR="00575564" w:rsidRPr="00224E70" w:rsidRDefault="00BF5EFA" w:rsidP="004D1E09">
            <w:r>
              <w:t>Provide update on the FY 2014 Canceling Year Lines</w:t>
            </w:r>
          </w:p>
        </w:tc>
      </w:tr>
      <w:tr w:rsidR="00575564" w:rsidRPr="00224E70" w14:paraId="585745DD" w14:textId="77777777" w:rsidTr="004D1E09">
        <w:trPr>
          <w:trHeight w:val="290"/>
        </w:trPr>
        <w:tc>
          <w:tcPr>
            <w:tcW w:w="890" w:type="dxa"/>
            <w:noWrap/>
            <w:hideMark/>
          </w:tcPr>
          <w:p w14:paraId="36C054AB" w14:textId="03B9A916" w:rsidR="00575564" w:rsidRPr="00224E70" w:rsidRDefault="00575564" w:rsidP="004D1E09">
            <w:r w:rsidRPr="00224E70">
              <w:t>19-</w:t>
            </w:r>
            <w:r w:rsidR="00676A6F">
              <w:t>34</w:t>
            </w:r>
          </w:p>
        </w:tc>
        <w:tc>
          <w:tcPr>
            <w:tcW w:w="3510" w:type="dxa"/>
            <w:noWrap/>
            <w:hideMark/>
          </w:tcPr>
          <w:p w14:paraId="0B7CFF9D" w14:textId="6D62A964" w:rsidR="00575564" w:rsidRPr="00224E70" w:rsidRDefault="00BF5EFA" w:rsidP="004D1E09">
            <w:r>
              <w:t>Commercial and Government Entity Code (CAGE) Backlog Impacts SAM Registrations</w:t>
            </w:r>
          </w:p>
        </w:tc>
        <w:tc>
          <w:tcPr>
            <w:tcW w:w="1350" w:type="dxa"/>
            <w:noWrap/>
            <w:hideMark/>
          </w:tcPr>
          <w:p w14:paraId="5566D531" w14:textId="68036E5A" w:rsidR="00575564" w:rsidRPr="00224E70" w:rsidRDefault="00884356" w:rsidP="004D1E09">
            <w:r>
              <w:t>4/11/19</w:t>
            </w:r>
          </w:p>
        </w:tc>
        <w:tc>
          <w:tcPr>
            <w:tcW w:w="5135" w:type="dxa"/>
          </w:tcPr>
          <w:p w14:paraId="650DAA9D" w14:textId="1538ED0C" w:rsidR="00575564" w:rsidRPr="00224E70" w:rsidRDefault="00575564" w:rsidP="004D1E09">
            <w:r>
              <w:t xml:space="preserve">Provided </w:t>
            </w:r>
            <w:r w:rsidR="00884356">
              <w:t xml:space="preserve">information on the CAGE unplanned outage on 4/8/19 which created a backlog that impacted SAM registration processing times. </w:t>
            </w:r>
          </w:p>
        </w:tc>
      </w:tr>
      <w:tr w:rsidR="00575564" w:rsidRPr="00224E70" w14:paraId="4A6FCBB0" w14:textId="77777777" w:rsidTr="004D1E09">
        <w:trPr>
          <w:trHeight w:val="290"/>
        </w:trPr>
        <w:tc>
          <w:tcPr>
            <w:tcW w:w="890" w:type="dxa"/>
            <w:noWrap/>
            <w:hideMark/>
          </w:tcPr>
          <w:p w14:paraId="272020A7" w14:textId="1220B461" w:rsidR="00575564" w:rsidRPr="00224E70" w:rsidRDefault="00575564" w:rsidP="004D1E09">
            <w:r w:rsidRPr="00224E70">
              <w:t>19-</w:t>
            </w:r>
            <w:r w:rsidR="00676A6F">
              <w:t>35</w:t>
            </w:r>
          </w:p>
        </w:tc>
        <w:tc>
          <w:tcPr>
            <w:tcW w:w="3510" w:type="dxa"/>
            <w:noWrap/>
            <w:hideMark/>
          </w:tcPr>
          <w:p w14:paraId="169179B1" w14:textId="78F11278" w:rsidR="00575564" w:rsidRPr="00224E70" w:rsidRDefault="00884356" w:rsidP="004D1E09">
            <w:r>
              <w:t>Upcoming Changes to Unique Entity Identifier (formerly DUNS)</w:t>
            </w:r>
          </w:p>
        </w:tc>
        <w:tc>
          <w:tcPr>
            <w:tcW w:w="1350" w:type="dxa"/>
            <w:noWrap/>
            <w:hideMark/>
          </w:tcPr>
          <w:p w14:paraId="65F638AA" w14:textId="3404F5E8" w:rsidR="00575564" w:rsidRPr="00224E70" w:rsidRDefault="00884356" w:rsidP="004D1E09">
            <w:r>
              <w:t>4/19/19</w:t>
            </w:r>
          </w:p>
        </w:tc>
        <w:tc>
          <w:tcPr>
            <w:tcW w:w="5135" w:type="dxa"/>
          </w:tcPr>
          <w:p w14:paraId="31E8C8E5" w14:textId="52FA8BA5" w:rsidR="00575564" w:rsidRPr="00224E70" w:rsidRDefault="00884356" w:rsidP="004D1E09">
            <w:r>
              <w:t xml:space="preserve">Provided information on the Government-owned unique entity identifier. </w:t>
            </w:r>
          </w:p>
        </w:tc>
      </w:tr>
      <w:tr w:rsidR="00575564" w:rsidRPr="00224E70" w14:paraId="26269695" w14:textId="77777777" w:rsidTr="004D1E09">
        <w:trPr>
          <w:trHeight w:val="290"/>
        </w:trPr>
        <w:tc>
          <w:tcPr>
            <w:tcW w:w="890" w:type="dxa"/>
            <w:noWrap/>
            <w:hideMark/>
          </w:tcPr>
          <w:p w14:paraId="3DE5F841" w14:textId="3A2D8E54" w:rsidR="00575564" w:rsidRPr="00224E70" w:rsidRDefault="00575564" w:rsidP="004D1E09">
            <w:r w:rsidRPr="00224E70">
              <w:t>19-</w:t>
            </w:r>
            <w:r w:rsidR="00676A6F">
              <w:t>36</w:t>
            </w:r>
          </w:p>
        </w:tc>
        <w:tc>
          <w:tcPr>
            <w:tcW w:w="3510" w:type="dxa"/>
            <w:noWrap/>
            <w:hideMark/>
          </w:tcPr>
          <w:p w14:paraId="3A719CDF" w14:textId="76072C0C" w:rsidR="00575564" w:rsidRPr="00224E70" w:rsidRDefault="00884356" w:rsidP="004D1E09">
            <w:r>
              <w:t>Commercial and Government Entity Code (CAGE) Backlog Continues to Impact SAM Registrations</w:t>
            </w:r>
          </w:p>
        </w:tc>
        <w:tc>
          <w:tcPr>
            <w:tcW w:w="1350" w:type="dxa"/>
            <w:noWrap/>
            <w:hideMark/>
          </w:tcPr>
          <w:p w14:paraId="339BE6E3" w14:textId="77BD8290" w:rsidR="00575564" w:rsidRPr="00224E70" w:rsidRDefault="00884356" w:rsidP="004D1E09">
            <w:r>
              <w:t>4/22/19</w:t>
            </w:r>
          </w:p>
        </w:tc>
        <w:tc>
          <w:tcPr>
            <w:tcW w:w="5135" w:type="dxa"/>
          </w:tcPr>
          <w:p w14:paraId="7EF55E10" w14:textId="3182ABA4" w:rsidR="00575564" w:rsidRPr="00224E70" w:rsidRDefault="00884356" w:rsidP="004D1E09">
            <w:r>
              <w:t>Provided update on the CAGE outage.</w:t>
            </w:r>
          </w:p>
        </w:tc>
      </w:tr>
    </w:tbl>
    <w:p w14:paraId="39B34029" w14:textId="77777777" w:rsidR="004D1E09" w:rsidRDefault="004D1E09" w:rsidP="004D1E09">
      <w:pPr>
        <w:pStyle w:val="Heading1"/>
        <w:rPr>
          <w:rFonts w:eastAsia="Times New Roman"/>
        </w:rPr>
      </w:pPr>
    </w:p>
    <w:p w14:paraId="257E9275" w14:textId="77777777" w:rsidR="004D1E09" w:rsidRDefault="004D1E09">
      <w:pPr>
        <w:spacing w:after="160" w:line="252" w:lineRule="auto"/>
        <w:jc w:val="both"/>
        <w:rPr>
          <w:rFonts w:ascii="Arial" w:eastAsia="Times New Roman" w:hAnsi="Arial" w:cstheme="majorBidi"/>
          <w:b/>
          <w:bCs/>
          <w:caps/>
          <w:spacing w:val="4"/>
          <w:sz w:val="32"/>
          <w:szCs w:val="28"/>
        </w:rPr>
      </w:pPr>
      <w:r>
        <w:rPr>
          <w:rFonts w:eastAsia="Times New Roman"/>
        </w:rPr>
        <w:br w:type="page"/>
      </w:r>
    </w:p>
    <w:p w14:paraId="0E29C258" w14:textId="2CB13658" w:rsidR="007C2082" w:rsidRPr="00717AF1" w:rsidRDefault="007C2082" w:rsidP="004D1E09">
      <w:pPr>
        <w:pStyle w:val="Heading1"/>
        <w:rPr>
          <w:rFonts w:eastAsia="Times New Roman"/>
        </w:rPr>
      </w:pPr>
      <w:r w:rsidRPr="00717AF1">
        <w:rPr>
          <w:rFonts w:eastAsia="Times New Roman"/>
        </w:rPr>
        <w:lastRenderedPageBreak/>
        <w:t>Acquisition Training at NIH</w:t>
      </w:r>
    </w:p>
    <w:p w14:paraId="73117053" w14:textId="77777777" w:rsidR="007C2082" w:rsidRPr="00717AF1" w:rsidRDefault="007C2082" w:rsidP="004D1E09">
      <w:pPr>
        <w:rPr>
          <w:color w:val="0000FF"/>
          <w:spacing w:val="-1"/>
          <w:u w:val="single" w:color="0000FF"/>
        </w:rPr>
      </w:pPr>
      <w:r w:rsidRPr="00717AF1">
        <w:rPr>
          <w:spacing w:val="1"/>
        </w:rPr>
        <w:t>A</w:t>
      </w:r>
      <w:r w:rsidRPr="00717AF1">
        <w:t>c</w:t>
      </w:r>
      <w:r w:rsidRPr="00717AF1">
        <w:rPr>
          <w:spacing w:val="-1"/>
        </w:rPr>
        <w:t>q</w:t>
      </w:r>
      <w:r w:rsidRPr="00717AF1">
        <w:rPr>
          <w:spacing w:val="1"/>
        </w:rPr>
        <w:t>u</w:t>
      </w:r>
      <w:r w:rsidRPr="00717AF1">
        <w:rPr>
          <w:spacing w:val="-1"/>
        </w:rPr>
        <w:t>i</w:t>
      </w:r>
      <w:r w:rsidRPr="00717AF1">
        <w:t>s</w:t>
      </w:r>
      <w:r w:rsidRPr="00717AF1">
        <w:rPr>
          <w:spacing w:val="-1"/>
        </w:rPr>
        <w:t>i</w:t>
      </w:r>
      <w:r w:rsidRPr="00717AF1">
        <w:rPr>
          <w:spacing w:val="1"/>
        </w:rPr>
        <w:t>t</w:t>
      </w:r>
      <w:r w:rsidRPr="00717AF1">
        <w:rPr>
          <w:spacing w:val="-1"/>
        </w:rPr>
        <w:t>i</w:t>
      </w:r>
      <w:r w:rsidRPr="00717AF1">
        <w:rPr>
          <w:spacing w:val="1"/>
        </w:rPr>
        <w:t>o</w:t>
      </w:r>
      <w:r w:rsidRPr="00717AF1">
        <w:t>n</w:t>
      </w:r>
      <w:r w:rsidRPr="00717AF1">
        <w:rPr>
          <w:spacing w:val="2"/>
        </w:rPr>
        <w:t xml:space="preserve"> T</w:t>
      </w:r>
      <w:r w:rsidRPr="00717AF1">
        <w:rPr>
          <w:spacing w:val="-3"/>
        </w:rPr>
        <w:t>r</w:t>
      </w:r>
      <w:r w:rsidRPr="00717AF1">
        <w:rPr>
          <w:spacing w:val="1"/>
        </w:rPr>
        <w:t>a</w:t>
      </w:r>
      <w:r w:rsidRPr="00717AF1">
        <w:rPr>
          <w:spacing w:val="-1"/>
        </w:rPr>
        <w:t>i</w:t>
      </w:r>
      <w:r w:rsidRPr="00717AF1">
        <w:rPr>
          <w:spacing w:val="1"/>
        </w:rPr>
        <w:t>n</w:t>
      </w:r>
      <w:r w:rsidRPr="00717AF1">
        <w:rPr>
          <w:spacing w:val="-1"/>
        </w:rPr>
        <w:t>i</w:t>
      </w:r>
      <w:r w:rsidRPr="00717AF1">
        <w:rPr>
          <w:spacing w:val="1"/>
        </w:rPr>
        <w:t>n</w:t>
      </w:r>
      <w:r w:rsidRPr="00717AF1">
        <w:t>g</w:t>
      </w:r>
      <w:r w:rsidRPr="00717AF1">
        <w:rPr>
          <w:spacing w:val="-1"/>
        </w:rPr>
        <w:t xml:space="preserve"> Cl</w:t>
      </w:r>
      <w:r w:rsidRPr="00717AF1">
        <w:rPr>
          <w:spacing w:val="1"/>
        </w:rPr>
        <w:t>a</w:t>
      </w:r>
      <w:r w:rsidRPr="00717AF1">
        <w:t>ss</w:t>
      </w:r>
      <w:r w:rsidRPr="00717AF1">
        <w:rPr>
          <w:spacing w:val="1"/>
        </w:rPr>
        <w:t>e</w:t>
      </w:r>
      <w:r w:rsidRPr="00717AF1">
        <w:t>s</w:t>
      </w:r>
      <w:r w:rsidRPr="00717AF1">
        <w:rPr>
          <w:spacing w:val="1"/>
        </w:rPr>
        <w:t xml:space="preserve"> that are offered by the NIH Training Center </w:t>
      </w:r>
      <w:r w:rsidRPr="00717AF1">
        <w:t>can</w:t>
      </w:r>
      <w:r w:rsidRPr="00717AF1">
        <w:rPr>
          <w:spacing w:val="2"/>
        </w:rPr>
        <w:t xml:space="preserve"> </w:t>
      </w:r>
      <w:r w:rsidRPr="00717AF1">
        <w:rPr>
          <w:spacing w:val="-1"/>
        </w:rPr>
        <w:t>b</w:t>
      </w:r>
      <w:r w:rsidRPr="00717AF1">
        <w:t>e</w:t>
      </w:r>
      <w:r w:rsidRPr="00717AF1">
        <w:rPr>
          <w:spacing w:val="2"/>
        </w:rPr>
        <w:t xml:space="preserve"> </w:t>
      </w:r>
      <w:r w:rsidRPr="00717AF1">
        <w:rPr>
          <w:spacing w:val="1"/>
        </w:rPr>
        <w:t>a</w:t>
      </w:r>
      <w:r w:rsidRPr="00717AF1">
        <w:t>c</w:t>
      </w:r>
      <w:r w:rsidRPr="00717AF1">
        <w:rPr>
          <w:spacing w:val="-2"/>
        </w:rPr>
        <w:t>c</w:t>
      </w:r>
      <w:r w:rsidRPr="00717AF1">
        <w:rPr>
          <w:spacing w:val="1"/>
        </w:rPr>
        <w:t>e</w:t>
      </w:r>
      <w:r w:rsidRPr="00717AF1">
        <w:t>ss</w:t>
      </w:r>
      <w:r w:rsidRPr="00717AF1">
        <w:rPr>
          <w:spacing w:val="-1"/>
        </w:rPr>
        <w:t>e</w:t>
      </w:r>
      <w:r w:rsidRPr="00717AF1">
        <w:t>d</w:t>
      </w:r>
      <w:r w:rsidRPr="00717AF1">
        <w:rPr>
          <w:spacing w:val="2"/>
        </w:rPr>
        <w:t xml:space="preserve"> </w:t>
      </w:r>
      <w:r w:rsidRPr="00717AF1">
        <w:rPr>
          <w:spacing w:val="1"/>
        </w:rPr>
        <w:t>a</w:t>
      </w:r>
      <w:r w:rsidRPr="00717AF1">
        <w:t>t</w:t>
      </w:r>
      <w:r w:rsidRPr="00717AF1">
        <w:rPr>
          <w:spacing w:val="-1"/>
        </w:rPr>
        <w:t xml:space="preserve"> </w:t>
      </w:r>
      <w:r w:rsidRPr="00717AF1">
        <w:rPr>
          <w:spacing w:val="1"/>
        </w:rPr>
        <w:t>th</w:t>
      </w:r>
      <w:r w:rsidRPr="00717AF1">
        <w:t>e</w:t>
      </w:r>
      <w:r w:rsidRPr="00717AF1">
        <w:rPr>
          <w:spacing w:val="-3"/>
        </w:rPr>
        <w:t xml:space="preserve"> </w:t>
      </w:r>
      <w:r w:rsidRPr="00717AF1">
        <w:rPr>
          <w:spacing w:val="3"/>
        </w:rPr>
        <w:t>f</w:t>
      </w:r>
      <w:r w:rsidRPr="00717AF1">
        <w:rPr>
          <w:spacing w:val="1"/>
        </w:rPr>
        <w:t>o</w:t>
      </w:r>
      <w:r w:rsidRPr="00717AF1">
        <w:rPr>
          <w:spacing w:val="-1"/>
        </w:rPr>
        <w:t>ll</w:t>
      </w:r>
      <w:r w:rsidRPr="00717AF1">
        <w:rPr>
          <w:spacing w:val="1"/>
        </w:rPr>
        <w:t>o</w:t>
      </w:r>
      <w:r w:rsidRPr="00717AF1">
        <w:rPr>
          <w:spacing w:val="-3"/>
        </w:rPr>
        <w:t>w</w:t>
      </w:r>
      <w:r w:rsidRPr="00717AF1">
        <w:rPr>
          <w:spacing w:val="-1"/>
        </w:rPr>
        <w:t>i</w:t>
      </w:r>
      <w:r w:rsidRPr="00717AF1">
        <w:rPr>
          <w:spacing w:val="1"/>
        </w:rPr>
        <w:t xml:space="preserve">ng </w:t>
      </w:r>
      <w:r w:rsidRPr="00717AF1">
        <w:t>li</w:t>
      </w:r>
      <w:r w:rsidRPr="00717AF1">
        <w:rPr>
          <w:spacing w:val="1"/>
        </w:rPr>
        <w:t>n</w:t>
      </w:r>
      <w:r w:rsidRPr="00717AF1">
        <w:t xml:space="preserve">k: </w:t>
      </w:r>
      <w:r w:rsidRPr="00717AF1">
        <w:rPr>
          <w:color w:val="0000FF"/>
          <w:spacing w:val="-65"/>
        </w:rPr>
        <w:t xml:space="preserve"> </w:t>
      </w:r>
      <w:hyperlink r:id="rId14" w:tooltip="Acquisition Management Training" w:history="1">
        <w:r w:rsidRPr="00717AF1">
          <w:rPr>
            <w:color w:val="0563C1"/>
            <w:spacing w:val="-1"/>
            <w:u w:val="single"/>
          </w:rPr>
          <w:t>Acquisition Management Training</w:t>
        </w:r>
      </w:hyperlink>
    </w:p>
    <w:p w14:paraId="7F0F0F7E" w14:textId="77777777" w:rsidR="007C2082" w:rsidRPr="00717AF1" w:rsidRDefault="007C2082" w:rsidP="004D1E09">
      <w:pPr>
        <w:rPr>
          <w:rFonts w:eastAsia="Times New Roman"/>
        </w:rPr>
      </w:pPr>
      <w:r w:rsidRPr="00717AF1">
        <w:rPr>
          <w:rFonts w:eastAsia="Times New Roman"/>
        </w:rPr>
        <w:t>Federal Acquisition Certification Coursework</w:t>
      </w:r>
    </w:p>
    <w:p w14:paraId="7FD251FA" w14:textId="77777777" w:rsidR="007C2082" w:rsidRPr="00717AF1" w:rsidRDefault="007C2082" w:rsidP="004D1E09">
      <w:pPr>
        <w:rPr>
          <w:rFonts w:ascii="Arial" w:hAnsi="Arial" w:cs="Arial"/>
          <w:szCs w:val="24"/>
        </w:rPr>
      </w:pPr>
      <w:r w:rsidRPr="004D1E09">
        <w:t xml:space="preserve">CON courses and other Federal Acquisition Certification required courses can be found at the </w:t>
      </w:r>
      <w:hyperlink r:id="rId15" w:tooltip="NIH Training Center" w:history="1">
        <w:r w:rsidRPr="004D1E09">
          <w:rPr>
            <w:rStyle w:val="Hyperlink"/>
          </w:rPr>
          <w:t>NIH Training Center</w:t>
        </w:r>
      </w:hyperlink>
      <w:r w:rsidRPr="004D1E09">
        <w:t xml:space="preserve">, </w:t>
      </w:r>
      <w:hyperlink r:id="rId16" w:tooltip="Federal Acquisition Institute" w:history="1">
        <w:r w:rsidRPr="004D1E09">
          <w:rPr>
            <w:rStyle w:val="Hyperlink"/>
          </w:rPr>
          <w:t>Federal Acquisition Institute</w:t>
        </w:r>
      </w:hyperlink>
      <w:r w:rsidRPr="004D1E09">
        <w:t xml:space="preserve">, and </w:t>
      </w:r>
      <w:hyperlink r:id="rId17" w:tooltip="Defense Acquisition University" w:history="1">
        <w:r w:rsidRPr="004D1E09">
          <w:rPr>
            <w:rStyle w:val="Hyperlink"/>
          </w:rPr>
          <w:t>Defense Acquisition University</w:t>
        </w:r>
      </w:hyperlink>
      <w:r w:rsidRPr="00717AF1">
        <w:rPr>
          <w:rFonts w:ascii="Arial" w:hAnsi="Arial" w:cs="Arial"/>
          <w:szCs w:val="24"/>
        </w:rPr>
        <w:t>.</w:t>
      </w:r>
    </w:p>
    <w:p w14:paraId="429FD1BE" w14:textId="77777777" w:rsidR="007C2082" w:rsidRPr="00717AF1" w:rsidRDefault="007C2082" w:rsidP="004D1E09">
      <w:r w:rsidRPr="00717AF1">
        <w:t>Section 508 Accessibility Training</w:t>
      </w:r>
    </w:p>
    <w:p w14:paraId="083E2B7C" w14:textId="77777777" w:rsidR="007C2082" w:rsidRPr="00717AF1" w:rsidRDefault="007C2082" w:rsidP="004D1E09">
      <w:r w:rsidRPr="00717AF1">
        <w:t>Section 508 Accessibility Training courses can be accessed at</w:t>
      </w:r>
      <w:bookmarkStart w:id="3" w:name="_Hlk419199521"/>
      <w:r w:rsidRPr="00717AF1">
        <w:t xml:space="preserve">: </w:t>
      </w:r>
      <w:hyperlink r:id="rId18" w:tooltip="CIT 508 Training Webpage" w:history="1">
        <w:bookmarkEnd w:id="3"/>
        <w:r w:rsidRPr="00717AF1">
          <w:rPr>
            <w:color w:val="0563C1"/>
            <w:u w:val="single"/>
          </w:rPr>
          <w:t>CIT Section 508 Accessibility Training Website</w:t>
        </w:r>
      </w:hyperlink>
      <w:r w:rsidRPr="00717AF1">
        <w:t>.</w:t>
      </w:r>
    </w:p>
    <w:p w14:paraId="5416F622" w14:textId="77777777" w:rsidR="007C2082" w:rsidRPr="00717AF1" w:rsidRDefault="007C2082" w:rsidP="004D1E09">
      <w:pPr>
        <w:rPr>
          <w:rFonts w:eastAsia="Times New Roman"/>
        </w:rPr>
      </w:pPr>
      <w:r w:rsidRPr="00717AF1">
        <w:rPr>
          <w:rFonts w:eastAsia="Times New Roman"/>
        </w:rPr>
        <w:t>Green Purchasing Training</w:t>
      </w:r>
    </w:p>
    <w:p w14:paraId="0FED5823" w14:textId="25667386" w:rsidR="007C2082" w:rsidRPr="00717AF1" w:rsidRDefault="007C2082" w:rsidP="004D1E09">
      <w:pPr>
        <w:rPr>
          <w:color w:val="000000"/>
        </w:rPr>
      </w:pPr>
      <w:r w:rsidRPr="00717AF1">
        <w:rPr>
          <w:color w:val="000000"/>
        </w:rPr>
        <w:t xml:space="preserve">Green Purchasing Training and other Green Training courses can be found at: </w:t>
      </w:r>
      <w:hyperlink r:id="rId19" w:tooltip="OALM Green Purchasing Website" w:history="1">
        <w:r w:rsidRPr="00717AF1">
          <w:rPr>
            <w:color w:val="0563C1"/>
            <w:u w:val="single"/>
          </w:rPr>
          <w:t>OALM Green Purchasing Website</w:t>
        </w:r>
      </w:hyperlink>
      <w:r w:rsidRPr="00717AF1">
        <w:rPr>
          <w:color w:val="000000"/>
        </w:rPr>
        <w:t>.</w:t>
      </w:r>
    </w:p>
    <w:p w14:paraId="666A9825" w14:textId="77777777" w:rsidR="00A622F3" w:rsidRPr="00717AF1" w:rsidRDefault="00A622F3" w:rsidP="004D1E09"/>
    <w:p w14:paraId="33091E29" w14:textId="08E5E1ED" w:rsidR="00A622F3" w:rsidRDefault="00DA70BC" w:rsidP="004D1E09">
      <w:r w:rsidRPr="00717AF1">
        <w:t>Discontinued BPAs</w:t>
      </w:r>
    </w:p>
    <w:p w14:paraId="7618E669" w14:textId="77777777" w:rsidR="00795E52" w:rsidRPr="00717AF1" w:rsidRDefault="00795E52" w:rsidP="004D1E09"/>
    <w:tbl>
      <w:tblPr>
        <w:tblStyle w:val="TableGrid"/>
        <w:tblpPr w:leftFromText="180" w:rightFromText="180" w:vertAnchor="text" w:tblpY="1"/>
        <w:tblOverlap w:val="never"/>
        <w:tblW w:w="0" w:type="auto"/>
        <w:tblLook w:val="04A0" w:firstRow="1" w:lastRow="0" w:firstColumn="1" w:lastColumn="0" w:noHBand="0" w:noVBand="1"/>
      </w:tblPr>
      <w:tblGrid>
        <w:gridCol w:w="2829"/>
        <w:gridCol w:w="4545"/>
        <w:gridCol w:w="1976"/>
      </w:tblGrid>
      <w:tr w:rsidR="00884356" w:rsidRPr="00717AF1" w14:paraId="18DF4D04" w14:textId="7B151FB0" w:rsidTr="007B18E2">
        <w:tc>
          <w:tcPr>
            <w:tcW w:w="2962" w:type="dxa"/>
          </w:tcPr>
          <w:p w14:paraId="5C250768" w14:textId="07170E94" w:rsidR="00884356" w:rsidRPr="00717AF1" w:rsidRDefault="00884356" w:rsidP="004D1E09">
            <w:r w:rsidRPr="00717AF1">
              <w:t>BPA #</w:t>
            </w:r>
          </w:p>
        </w:tc>
        <w:tc>
          <w:tcPr>
            <w:tcW w:w="5760" w:type="dxa"/>
          </w:tcPr>
          <w:p w14:paraId="139A1333" w14:textId="126D2005" w:rsidR="00884356" w:rsidRPr="00717AF1" w:rsidRDefault="00884356" w:rsidP="004D1E09">
            <w:r w:rsidRPr="00717AF1">
              <w:t>Vendor Name</w:t>
            </w:r>
          </w:p>
        </w:tc>
        <w:tc>
          <w:tcPr>
            <w:tcW w:w="2250" w:type="dxa"/>
          </w:tcPr>
          <w:p w14:paraId="746D96D9" w14:textId="7C564B95" w:rsidR="00884356" w:rsidRPr="00717AF1" w:rsidRDefault="00795E52" w:rsidP="004D1E09">
            <w:r>
              <w:t>Expiration</w:t>
            </w:r>
          </w:p>
        </w:tc>
      </w:tr>
      <w:tr w:rsidR="00884356" w:rsidRPr="00717AF1" w14:paraId="1E53D48A" w14:textId="2B410309" w:rsidTr="007B18E2">
        <w:tc>
          <w:tcPr>
            <w:tcW w:w="2962" w:type="dxa"/>
          </w:tcPr>
          <w:p w14:paraId="499A62DA" w14:textId="01294F4E" w:rsidR="00884356" w:rsidRPr="00717AF1" w:rsidRDefault="004D1E09" w:rsidP="004D1E09">
            <w:r>
              <w:t>HHSN263</w:t>
            </w:r>
            <w:r w:rsidR="00884356" w:rsidRPr="00717AF1">
              <w:t>201500109B</w:t>
            </w:r>
          </w:p>
        </w:tc>
        <w:tc>
          <w:tcPr>
            <w:tcW w:w="5760" w:type="dxa"/>
          </w:tcPr>
          <w:p w14:paraId="42CF1B37" w14:textId="7C12824F" w:rsidR="00884356" w:rsidRPr="00717AF1" w:rsidRDefault="00884356" w:rsidP="004D1E09">
            <w:r w:rsidRPr="00717AF1">
              <w:t>Croyle Diane &amp; Associates</w:t>
            </w:r>
          </w:p>
        </w:tc>
        <w:tc>
          <w:tcPr>
            <w:tcW w:w="2250" w:type="dxa"/>
          </w:tcPr>
          <w:p w14:paraId="781E4203" w14:textId="1B9D93A5" w:rsidR="00884356" w:rsidRPr="00717AF1" w:rsidRDefault="00795E52" w:rsidP="004D1E09">
            <w:r>
              <w:t>5/31/2019</w:t>
            </w:r>
          </w:p>
        </w:tc>
      </w:tr>
      <w:tr w:rsidR="00884356" w:rsidRPr="00717AF1" w14:paraId="6C7E5C39" w14:textId="3BD773D0" w:rsidTr="007B18E2">
        <w:tc>
          <w:tcPr>
            <w:tcW w:w="2962" w:type="dxa"/>
          </w:tcPr>
          <w:p w14:paraId="110D7785" w14:textId="12C44D2A" w:rsidR="00884356" w:rsidRPr="00717AF1" w:rsidRDefault="004D1E09" w:rsidP="004D1E09">
            <w:r>
              <w:t>HHSN263</w:t>
            </w:r>
            <w:r w:rsidR="00884356" w:rsidRPr="00717AF1">
              <w:t>201500116B</w:t>
            </w:r>
          </w:p>
        </w:tc>
        <w:tc>
          <w:tcPr>
            <w:tcW w:w="5760" w:type="dxa"/>
          </w:tcPr>
          <w:p w14:paraId="4CAEE46F" w14:textId="329A4E6A" w:rsidR="00884356" w:rsidRPr="00717AF1" w:rsidRDefault="00884356" w:rsidP="004D1E09">
            <w:r w:rsidRPr="00717AF1">
              <w:t>Discovery Logic Inc.</w:t>
            </w:r>
          </w:p>
        </w:tc>
        <w:tc>
          <w:tcPr>
            <w:tcW w:w="2250" w:type="dxa"/>
          </w:tcPr>
          <w:p w14:paraId="5382BCD1" w14:textId="55EF4BA3" w:rsidR="00884356" w:rsidRPr="00717AF1" w:rsidRDefault="00795E52" w:rsidP="004D1E09">
            <w:r>
              <w:t>5/31/2019</w:t>
            </w:r>
          </w:p>
        </w:tc>
      </w:tr>
      <w:tr w:rsidR="00884356" w:rsidRPr="00717AF1" w14:paraId="40E4ECF0" w14:textId="599277FD" w:rsidTr="007B18E2">
        <w:tc>
          <w:tcPr>
            <w:tcW w:w="2962" w:type="dxa"/>
          </w:tcPr>
          <w:p w14:paraId="46A4F81C" w14:textId="369A5FF7" w:rsidR="00884356" w:rsidRPr="00717AF1" w:rsidRDefault="004D1E09" w:rsidP="004D1E09">
            <w:r>
              <w:t>HHSN263</w:t>
            </w:r>
            <w:r w:rsidR="00884356" w:rsidRPr="00717AF1">
              <w:t>201500147B</w:t>
            </w:r>
          </w:p>
        </w:tc>
        <w:tc>
          <w:tcPr>
            <w:tcW w:w="5760" w:type="dxa"/>
          </w:tcPr>
          <w:p w14:paraId="41CF1853" w14:textId="35E0FB98" w:rsidR="00884356" w:rsidRPr="00717AF1" w:rsidRDefault="00884356" w:rsidP="004D1E09">
            <w:r w:rsidRPr="00717AF1">
              <w:t>Gene Codes Corp.</w:t>
            </w:r>
          </w:p>
        </w:tc>
        <w:tc>
          <w:tcPr>
            <w:tcW w:w="2250" w:type="dxa"/>
          </w:tcPr>
          <w:p w14:paraId="63120B7C" w14:textId="45302C4F" w:rsidR="00884356" w:rsidRPr="00717AF1" w:rsidRDefault="00795E52" w:rsidP="004D1E09">
            <w:r>
              <w:t>6/30/2019</w:t>
            </w:r>
          </w:p>
        </w:tc>
      </w:tr>
    </w:tbl>
    <w:p w14:paraId="56E55384" w14:textId="77777777" w:rsidR="007B18E2" w:rsidRDefault="007B18E2" w:rsidP="004D1E09"/>
    <w:p w14:paraId="7E1388C1" w14:textId="77777777" w:rsidR="007C2082" w:rsidRPr="00717AF1" w:rsidRDefault="007C2082" w:rsidP="004D1E09">
      <w:pPr>
        <w:rPr>
          <w:rFonts w:eastAsia="Times New Roman"/>
        </w:rPr>
      </w:pPr>
      <w:r w:rsidRPr="00717AF1">
        <w:rPr>
          <w:rFonts w:eastAsia="Times New Roman"/>
        </w:rPr>
        <w:t>NIH Blanket Purchase Agreement (BPA) Lists Available Online</w:t>
      </w:r>
    </w:p>
    <w:p w14:paraId="118FAAF8" w14:textId="77777777" w:rsidR="007C2082" w:rsidRPr="00717AF1" w:rsidRDefault="007C2082" w:rsidP="004D1E09">
      <w:r w:rsidRPr="00717AF1">
        <w:t xml:space="preserve">Lists of all NIH Blanket Purchase Agreements (BPAs) can be found at the NIH Blanket Purchase Agreement </w:t>
      </w:r>
      <w:hyperlink r:id="rId20" w:tooltip="NIH Blanket Purchase Agreement webpage" w:history="1">
        <w:r w:rsidRPr="00717AF1">
          <w:rPr>
            <w:color w:val="0563C1"/>
            <w:u w:val="single"/>
          </w:rPr>
          <w:t>webpage</w:t>
        </w:r>
      </w:hyperlink>
      <w:r w:rsidRPr="00717AF1">
        <w:t>.</w:t>
      </w:r>
    </w:p>
    <w:p w14:paraId="4F9EA231" w14:textId="77777777" w:rsidR="007C2082" w:rsidRPr="00717AF1" w:rsidRDefault="007C2082" w:rsidP="004D1E09">
      <w:r w:rsidRPr="00717AF1">
        <w:t>This location contains Two BPA Lists:</w:t>
      </w:r>
    </w:p>
    <w:p w14:paraId="13C11130" w14:textId="77777777" w:rsidR="007C2082" w:rsidRPr="00717AF1" w:rsidRDefault="007C2082" w:rsidP="004D1E09">
      <w:r w:rsidRPr="00717AF1">
        <w:t>1.  Complete vendor alphabetical list;</w:t>
      </w:r>
    </w:p>
    <w:p w14:paraId="70BD1AAD" w14:textId="77777777" w:rsidR="007C2082" w:rsidRPr="00717AF1" w:rsidRDefault="007C2082" w:rsidP="004D1E09">
      <w:r w:rsidRPr="00717AF1">
        <w:t>2.  Vendor list sorted by commodity; and</w:t>
      </w:r>
    </w:p>
    <w:p w14:paraId="21B5608D" w14:textId="77777777" w:rsidR="007C2082" w:rsidRPr="00717AF1" w:rsidRDefault="007C2082" w:rsidP="004D1E09">
      <w:r w:rsidRPr="00717AF1">
        <w:t xml:space="preserve">If you have any questions or need further clarification, please contact the BPA helpline at 301-496-5212 or </w:t>
      </w:r>
      <w:hyperlink r:id="rId21" w:tooltip="BPA Program Helpdesk email" w:history="1">
        <w:r w:rsidRPr="00717AF1">
          <w:rPr>
            <w:color w:val="0563C1"/>
            <w:u w:val="single"/>
          </w:rPr>
          <w:t>email</w:t>
        </w:r>
      </w:hyperlink>
      <w:r w:rsidRPr="00717AF1">
        <w:t>.</w:t>
      </w:r>
    </w:p>
    <w:p w14:paraId="54EDECCD" w14:textId="324B2ACE" w:rsidR="007C2082" w:rsidRPr="00717AF1" w:rsidRDefault="007C2082" w:rsidP="004D1E09">
      <w:pPr>
        <w:pStyle w:val="Heading1"/>
      </w:pPr>
      <w:r w:rsidRPr="00717AF1">
        <w:br w:type="page"/>
      </w:r>
      <w:r w:rsidRPr="00717AF1">
        <w:lastRenderedPageBreak/>
        <w:t>THANKS!</w:t>
      </w:r>
    </w:p>
    <w:p w14:paraId="46A246F8" w14:textId="77777777" w:rsidR="007C2082" w:rsidRPr="00717AF1" w:rsidRDefault="007C2082" w:rsidP="004D1E09">
      <w:r w:rsidRPr="00717AF1">
        <w:t>We would like to thank all those who contributed to this and future editions of the OALM Newsletter.</w:t>
      </w:r>
    </w:p>
    <w:p w14:paraId="5A897168" w14:textId="213F1492" w:rsidR="007C2082" w:rsidRPr="00717AF1" w:rsidRDefault="007C2082" w:rsidP="004D1E09">
      <w:r w:rsidRPr="00717AF1">
        <w:t>The OALM Newsletter will be published six (4) times in calendar year 2019. We encourage staff to submit articles that would be of interest to our readers. We will do our best to include such articles in future editions of the OALM Newsletter.</w:t>
      </w:r>
    </w:p>
    <w:p w14:paraId="65D09066" w14:textId="251D8E74" w:rsidR="007C2082" w:rsidRPr="004D1E09" w:rsidRDefault="007C2082" w:rsidP="004D1E09">
      <w:r w:rsidRPr="004D1E09">
        <w:t xml:space="preserve">Please address all correspondence to the editors: Milton Nicholas, </w:t>
      </w:r>
      <w:hyperlink r:id="rId22" w:tooltip="NicholaM@od.nih.gov" w:history="1">
        <w:r w:rsidRPr="004D1E09">
          <w:rPr>
            <w:rStyle w:val="Hyperlink"/>
          </w:rPr>
          <w:t>NicholaM@od.nih.gov</w:t>
        </w:r>
      </w:hyperlink>
      <w:r w:rsidRPr="004D1E09">
        <w:t xml:space="preserve"> Michele McDermott, </w:t>
      </w:r>
      <w:hyperlink r:id="rId23" w:tooltip="McDermottMl@od.nih.gov" w:history="1">
        <w:r w:rsidRPr="004D1E09">
          <w:rPr>
            <w:rStyle w:val="Hyperlink"/>
          </w:rPr>
          <w:t>McDermottMl@od.nih.gov</w:t>
        </w:r>
      </w:hyperlink>
      <w:r w:rsidRPr="004D1E09">
        <w:t xml:space="preserve">, Jesse Lee, </w:t>
      </w:r>
      <w:hyperlink r:id="rId24" w:history="1">
        <w:r w:rsidRPr="004D1E09">
          <w:rPr>
            <w:rStyle w:val="Hyperlink"/>
          </w:rPr>
          <w:t>Jesse.Lee2@nih.gov</w:t>
        </w:r>
      </w:hyperlink>
      <w:hyperlink r:id="rId25" w:history="1">
        <w:r w:rsidRPr="004D1E09">
          <w:rPr>
            <w:rStyle w:val="Hyperlink"/>
          </w:rPr>
          <w:t xml:space="preserve">, </w:t>
        </w:r>
      </w:hyperlink>
      <w:r w:rsidRPr="004D1E09">
        <w:t xml:space="preserve"> or Barry Solomon, </w:t>
      </w:r>
      <w:hyperlink r:id="rId26" w:tooltip="SolomonBJ@od.nih.gov" w:history="1">
        <w:r w:rsidRPr="004D1E09">
          <w:rPr>
            <w:rStyle w:val="Hyperlink"/>
          </w:rPr>
          <w:t>SolomonBJ@od.nih.gov</w:t>
        </w:r>
      </w:hyperlink>
      <w:r w:rsidRPr="004D1E09">
        <w:t>.</w:t>
      </w:r>
    </w:p>
    <w:p w14:paraId="0D408F4C" w14:textId="77777777" w:rsidR="007C2082" w:rsidRPr="00717AF1" w:rsidRDefault="007C2082" w:rsidP="004D1E09">
      <w:r w:rsidRPr="00717AF1">
        <w:t xml:space="preserve">If </w:t>
      </w:r>
      <w:r w:rsidRPr="00717AF1">
        <w:rPr>
          <w:spacing w:val="-2"/>
        </w:rPr>
        <w:t>y</w:t>
      </w:r>
      <w:r w:rsidRPr="00717AF1">
        <w:t>ou</w:t>
      </w:r>
      <w:r w:rsidRPr="00717AF1">
        <w:rPr>
          <w:spacing w:val="2"/>
        </w:rPr>
        <w:t xml:space="preserve"> </w:t>
      </w:r>
      <w:r w:rsidRPr="00717AF1">
        <w:t>ha</w:t>
      </w:r>
      <w:r w:rsidRPr="00717AF1">
        <w:rPr>
          <w:spacing w:val="-2"/>
        </w:rPr>
        <w:t>v</w:t>
      </w:r>
      <w:r w:rsidRPr="00717AF1">
        <w:t>e</w:t>
      </w:r>
      <w:r w:rsidRPr="00717AF1">
        <w:rPr>
          <w:spacing w:val="2"/>
        </w:rPr>
        <w:t xml:space="preserve"> </w:t>
      </w:r>
      <w:r w:rsidRPr="00717AF1">
        <w:rPr>
          <w:spacing w:val="-1"/>
        </w:rPr>
        <w:t>a</w:t>
      </w:r>
      <w:r w:rsidRPr="00717AF1">
        <w:t>ny</w:t>
      </w:r>
      <w:r w:rsidRPr="00717AF1">
        <w:rPr>
          <w:spacing w:val="-2"/>
        </w:rPr>
        <w:t xml:space="preserve"> </w:t>
      </w:r>
      <w:r w:rsidRPr="00717AF1">
        <w:rPr>
          <w:spacing w:val="-1"/>
        </w:rPr>
        <w:t>q</w:t>
      </w:r>
      <w:r w:rsidRPr="00717AF1">
        <w:t>uest</w:t>
      </w:r>
      <w:r w:rsidRPr="00717AF1">
        <w:rPr>
          <w:spacing w:val="-1"/>
        </w:rPr>
        <w:t>i</w:t>
      </w:r>
      <w:r w:rsidRPr="00717AF1">
        <w:t xml:space="preserve">ons or </w:t>
      </w:r>
      <w:r w:rsidRPr="00717AF1">
        <w:rPr>
          <w:spacing w:val="-2"/>
        </w:rPr>
        <w:t>c</w:t>
      </w:r>
      <w:r w:rsidRPr="00717AF1">
        <w:t>o</w:t>
      </w:r>
      <w:r w:rsidRPr="00717AF1">
        <w:rPr>
          <w:spacing w:val="-1"/>
        </w:rPr>
        <w:t>m</w:t>
      </w:r>
      <w:r w:rsidRPr="00717AF1">
        <w:rPr>
          <w:spacing w:val="2"/>
        </w:rPr>
        <w:t>m</w:t>
      </w:r>
      <w:r w:rsidRPr="00717AF1">
        <w:rPr>
          <w:spacing w:val="-1"/>
        </w:rPr>
        <w:t>e</w:t>
      </w:r>
      <w:r w:rsidRPr="00717AF1">
        <w:t xml:space="preserve">nts </w:t>
      </w:r>
      <w:r w:rsidRPr="00717AF1">
        <w:rPr>
          <w:spacing w:val="-1"/>
        </w:rPr>
        <w:t>r</w:t>
      </w:r>
      <w:r w:rsidRPr="00717AF1">
        <w:t>e</w:t>
      </w:r>
      <w:r w:rsidRPr="00717AF1">
        <w:rPr>
          <w:spacing w:val="-2"/>
        </w:rPr>
        <w:t>g</w:t>
      </w:r>
      <w:r w:rsidRPr="00717AF1">
        <w:rPr>
          <w:spacing w:val="-1"/>
        </w:rPr>
        <w:t>ar</w:t>
      </w:r>
      <w:r w:rsidRPr="00717AF1">
        <w:t>d</w:t>
      </w:r>
      <w:r w:rsidRPr="00717AF1">
        <w:rPr>
          <w:spacing w:val="-1"/>
        </w:rPr>
        <w:t>i</w:t>
      </w:r>
      <w:r w:rsidRPr="00717AF1">
        <w:t>ng</w:t>
      </w:r>
      <w:r w:rsidRPr="00717AF1">
        <w:rPr>
          <w:spacing w:val="-1"/>
        </w:rPr>
        <w:t xml:space="preserve"> </w:t>
      </w:r>
      <w:r w:rsidRPr="00717AF1">
        <w:t>the</w:t>
      </w:r>
      <w:r w:rsidRPr="00717AF1">
        <w:rPr>
          <w:spacing w:val="2"/>
        </w:rPr>
        <w:t xml:space="preserve"> </w:t>
      </w:r>
      <w:r w:rsidRPr="00717AF1">
        <w:rPr>
          <w:spacing w:val="-1"/>
        </w:rPr>
        <w:t>in</w:t>
      </w:r>
      <w:r w:rsidRPr="00717AF1">
        <w:t>fo</w:t>
      </w:r>
      <w:r w:rsidRPr="00717AF1">
        <w:rPr>
          <w:spacing w:val="-1"/>
        </w:rPr>
        <w:t>rm</w:t>
      </w:r>
      <w:r w:rsidRPr="00717AF1">
        <w:t>at</w:t>
      </w:r>
      <w:r w:rsidRPr="00717AF1">
        <w:rPr>
          <w:spacing w:val="-1"/>
        </w:rPr>
        <w:t>i</w:t>
      </w:r>
      <w:r w:rsidRPr="00717AF1">
        <w:t>o</w:t>
      </w:r>
      <w:r w:rsidRPr="00717AF1">
        <w:rPr>
          <w:spacing w:val="-2"/>
        </w:rPr>
        <w:t>n</w:t>
      </w:r>
      <w:r w:rsidRPr="00717AF1">
        <w:t xml:space="preserve">, </w:t>
      </w:r>
      <w:r w:rsidRPr="00717AF1">
        <w:rPr>
          <w:spacing w:val="-1"/>
        </w:rPr>
        <w:t>p</w:t>
      </w:r>
      <w:r w:rsidRPr="00717AF1">
        <w:t>o</w:t>
      </w:r>
      <w:r w:rsidRPr="00717AF1">
        <w:rPr>
          <w:spacing w:val="-1"/>
        </w:rPr>
        <w:t>li</w:t>
      </w:r>
      <w:r w:rsidRPr="00717AF1">
        <w:t>cy</w:t>
      </w:r>
      <w:r w:rsidRPr="00717AF1">
        <w:rPr>
          <w:spacing w:val="-2"/>
        </w:rPr>
        <w:t xml:space="preserve"> </w:t>
      </w:r>
      <w:r w:rsidRPr="00717AF1">
        <w:t>and/or p</w:t>
      </w:r>
      <w:r w:rsidRPr="00717AF1">
        <w:rPr>
          <w:spacing w:val="-1"/>
        </w:rPr>
        <w:t>r</w:t>
      </w:r>
      <w:r w:rsidRPr="00717AF1">
        <w:t>oce</w:t>
      </w:r>
      <w:r w:rsidRPr="00717AF1">
        <w:rPr>
          <w:spacing w:val="-2"/>
        </w:rPr>
        <w:t>d</w:t>
      </w:r>
      <w:r w:rsidRPr="00717AF1">
        <w:t>u</w:t>
      </w:r>
      <w:r w:rsidRPr="00717AF1">
        <w:rPr>
          <w:spacing w:val="-1"/>
        </w:rPr>
        <w:t>r</w:t>
      </w:r>
      <w:r w:rsidRPr="00717AF1">
        <w:t xml:space="preserve">es </w:t>
      </w:r>
      <w:r w:rsidRPr="00717AF1">
        <w:rPr>
          <w:spacing w:val="-1"/>
        </w:rPr>
        <w:t>p</w:t>
      </w:r>
      <w:r w:rsidRPr="00717AF1">
        <w:t>ub</w:t>
      </w:r>
      <w:r w:rsidRPr="00717AF1">
        <w:rPr>
          <w:spacing w:val="-1"/>
        </w:rPr>
        <w:t>li</w:t>
      </w:r>
      <w:r w:rsidRPr="00717AF1">
        <w:t>sh</w:t>
      </w:r>
      <w:r w:rsidRPr="00717AF1">
        <w:rPr>
          <w:spacing w:val="-2"/>
        </w:rPr>
        <w:t>e</w:t>
      </w:r>
      <w:r w:rsidRPr="00717AF1">
        <w:t>d</w:t>
      </w:r>
      <w:r w:rsidRPr="00717AF1">
        <w:rPr>
          <w:spacing w:val="2"/>
        </w:rPr>
        <w:t xml:space="preserve"> </w:t>
      </w:r>
      <w:r w:rsidRPr="00717AF1">
        <w:rPr>
          <w:spacing w:val="-3"/>
        </w:rPr>
        <w:t>i</w:t>
      </w:r>
      <w:r w:rsidRPr="00717AF1">
        <w:t>n</w:t>
      </w:r>
      <w:r w:rsidRPr="00717AF1">
        <w:rPr>
          <w:spacing w:val="2"/>
        </w:rPr>
        <w:t xml:space="preserve"> </w:t>
      </w:r>
      <w:r w:rsidRPr="00717AF1">
        <w:t>th</w:t>
      </w:r>
      <w:r w:rsidRPr="00717AF1">
        <w:rPr>
          <w:spacing w:val="-1"/>
        </w:rPr>
        <w:t>i</w:t>
      </w:r>
      <w:r w:rsidRPr="00717AF1">
        <w:t xml:space="preserve">s </w:t>
      </w:r>
      <w:r w:rsidRPr="00717AF1">
        <w:rPr>
          <w:spacing w:val="-1"/>
        </w:rPr>
        <w:t>i</w:t>
      </w:r>
      <w:r w:rsidRPr="00717AF1">
        <w:t>ss</w:t>
      </w:r>
      <w:r w:rsidRPr="00717AF1">
        <w:rPr>
          <w:spacing w:val="-1"/>
        </w:rPr>
        <w:t>u</w:t>
      </w:r>
      <w:r w:rsidRPr="00717AF1">
        <w:t xml:space="preserve">e, </w:t>
      </w:r>
      <w:r w:rsidRPr="00717AF1">
        <w:rPr>
          <w:spacing w:val="-2"/>
        </w:rPr>
        <w:t>y</w:t>
      </w:r>
      <w:r w:rsidRPr="00717AF1">
        <w:t>ou</w:t>
      </w:r>
      <w:r w:rsidRPr="00717AF1">
        <w:rPr>
          <w:spacing w:val="-1"/>
        </w:rPr>
        <w:t xml:space="preserve"> </w:t>
      </w:r>
      <w:r w:rsidRPr="00717AF1">
        <w:rPr>
          <w:spacing w:val="2"/>
        </w:rPr>
        <w:t>m</w:t>
      </w:r>
      <w:r w:rsidRPr="00717AF1">
        <w:t>ay</w:t>
      </w:r>
      <w:r w:rsidRPr="00717AF1">
        <w:rPr>
          <w:spacing w:val="-2"/>
        </w:rPr>
        <w:t xml:space="preserve"> </w:t>
      </w:r>
      <w:r w:rsidRPr="00717AF1">
        <w:t>conta</w:t>
      </w:r>
      <w:r w:rsidRPr="00717AF1">
        <w:rPr>
          <w:spacing w:val="-2"/>
        </w:rPr>
        <w:t>c</w:t>
      </w:r>
      <w:r w:rsidRPr="00717AF1">
        <w:t>t Milton Nicholas at t</w:t>
      </w:r>
      <w:r w:rsidRPr="00717AF1">
        <w:rPr>
          <w:spacing w:val="-1"/>
        </w:rPr>
        <w:t>h</w:t>
      </w:r>
      <w:r w:rsidRPr="00717AF1">
        <w:t>e</w:t>
      </w:r>
      <w:r w:rsidRPr="00717AF1">
        <w:rPr>
          <w:spacing w:val="2"/>
        </w:rPr>
        <w:t xml:space="preserve"> </w:t>
      </w:r>
      <w:r w:rsidRPr="00717AF1">
        <w:t>e</w:t>
      </w:r>
      <w:r w:rsidRPr="00717AF1">
        <w:rPr>
          <w:spacing w:val="-3"/>
        </w:rPr>
        <w:t>-</w:t>
      </w:r>
      <w:r w:rsidRPr="00717AF1">
        <w:rPr>
          <w:spacing w:val="2"/>
        </w:rPr>
        <w:t>m</w:t>
      </w:r>
      <w:r w:rsidRPr="00717AF1">
        <w:t>ail add</w:t>
      </w:r>
      <w:r w:rsidRPr="00717AF1">
        <w:rPr>
          <w:spacing w:val="-1"/>
        </w:rPr>
        <w:t>r</w:t>
      </w:r>
      <w:r w:rsidRPr="00717AF1">
        <w:t>ess</w:t>
      </w:r>
      <w:r w:rsidRPr="00717AF1">
        <w:rPr>
          <w:spacing w:val="-2"/>
        </w:rPr>
        <w:t xml:space="preserve"> </w:t>
      </w:r>
      <w:r w:rsidRPr="00717AF1">
        <w:t>a</w:t>
      </w:r>
      <w:r w:rsidRPr="00717AF1">
        <w:rPr>
          <w:spacing w:val="-2"/>
        </w:rPr>
        <w:t>b</w:t>
      </w:r>
      <w:r w:rsidRPr="00717AF1">
        <w:t>o</w:t>
      </w:r>
      <w:r w:rsidRPr="00717AF1">
        <w:rPr>
          <w:spacing w:val="-2"/>
        </w:rPr>
        <w:t>v</w:t>
      </w:r>
      <w:r w:rsidRPr="00717AF1">
        <w:t>e. For</w:t>
      </w:r>
      <w:r w:rsidRPr="00717AF1">
        <w:rPr>
          <w:spacing w:val="-2"/>
        </w:rPr>
        <w:t xml:space="preserve"> </w:t>
      </w:r>
      <w:r w:rsidRPr="00717AF1">
        <w:rPr>
          <w:spacing w:val="3"/>
        </w:rPr>
        <w:t>f</w:t>
      </w:r>
      <w:r w:rsidRPr="00717AF1">
        <w:rPr>
          <w:spacing w:val="-1"/>
        </w:rPr>
        <w:t>u</w:t>
      </w:r>
      <w:r w:rsidRPr="00717AF1">
        <w:t>tu</w:t>
      </w:r>
      <w:r w:rsidRPr="00717AF1">
        <w:rPr>
          <w:spacing w:val="-1"/>
        </w:rPr>
        <w:t>r</w:t>
      </w:r>
      <w:r w:rsidRPr="00717AF1">
        <w:t>e</w:t>
      </w:r>
      <w:r w:rsidRPr="00717AF1">
        <w:rPr>
          <w:spacing w:val="2"/>
        </w:rPr>
        <w:t xml:space="preserve"> </w:t>
      </w:r>
      <w:r w:rsidRPr="00717AF1">
        <w:rPr>
          <w:spacing w:val="-1"/>
        </w:rPr>
        <w:t>i</w:t>
      </w:r>
      <w:r w:rsidRPr="00717AF1">
        <w:t>ssues</w:t>
      </w:r>
      <w:r w:rsidRPr="00717AF1">
        <w:rPr>
          <w:spacing w:val="-2"/>
        </w:rPr>
        <w:t xml:space="preserve"> </w:t>
      </w:r>
      <w:r w:rsidRPr="00717AF1">
        <w:t>p</w:t>
      </w:r>
      <w:r w:rsidRPr="00717AF1">
        <w:rPr>
          <w:spacing w:val="-1"/>
        </w:rPr>
        <w:t>le</w:t>
      </w:r>
      <w:r w:rsidRPr="00717AF1">
        <w:t>ase</w:t>
      </w:r>
      <w:r w:rsidRPr="00717AF1">
        <w:rPr>
          <w:spacing w:val="2"/>
        </w:rPr>
        <w:t xml:space="preserve"> </w:t>
      </w:r>
      <w:r w:rsidRPr="00717AF1">
        <w:rPr>
          <w:spacing w:val="-2"/>
        </w:rPr>
        <w:t>c</w:t>
      </w:r>
      <w:r w:rsidRPr="00717AF1">
        <w:t>on</w:t>
      </w:r>
      <w:r w:rsidRPr="00717AF1">
        <w:rPr>
          <w:spacing w:val="-2"/>
        </w:rPr>
        <w:t>t</w:t>
      </w:r>
      <w:r w:rsidRPr="00717AF1">
        <w:t>act t</w:t>
      </w:r>
      <w:r w:rsidRPr="00717AF1">
        <w:rPr>
          <w:spacing w:val="-1"/>
        </w:rPr>
        <w:t>h</w:t>
      </w:r>
      <w:r w:rsidRPr="00717AF1">
        <w:t>e</w:t>
      </w:r>
      <w:r w:rsidRPr="00717AF1">
        <w:rPr>
          <w:spacing w:val="2"/>
        </w:rPr>
        <w:t xml:space="preserve"> </w:t>
      </w:r>
      <w:r w:rsidRPr="00717AF1">
        <w:t>S</w:t>
      </w:r>
      <w:r w:rsidRPr="00717AF1">
        <w:rPr>
          <w:spacing w:val="-3"/>
        </w:rPr>
        <w:t>i</w:t>
      </w:r>
      <w:r w:rsidRPr="00717AF1">
        <w:rPr>
          <w:spacing w:val="2"/>
        </w:rPr>
        <w:t>m</w:t>
      </w:r>
      <w:r w:rsidRPr="00717AF1">
        <w:t>p</w:t>
      </w:r>
      <w:r w:rsidRPr="00717AF1">
        <w:rPr>
          <w:spacing w:val="-1"/>
        </w:rPr>
        <w:t>l</w:t>
      </w:r>
      <w:r w:rsidRPr="00717AF1">
        <w:rPr>
          <w:spacing w:val="-3"/>
        </w:rPr>
        <w:t>i</w:t>
      </w:r>
      <w:r w:rsidRPr="00717AF1">
        <w:rPr>
          <w:spacing w:val="3"/>
        </w:rPr>
        <w:t>f</w:t>
      </w:r>
      <w:r w:rsidRPr="00717AF1">
        <w:rPr>
          <w:spacing w:val="-1"/>
        </w:rPr>
        <w:t>i</w:t>
      </w:r>
      <w:r w:rsidRPr="00717AF1">
        <w:t>ed</w:t>
      </w:r>
      <w:r w:rsidRPr="00717AF1">
        <w:rPr>
          <w:spacing w:val="-1"/>
        </w:rPr>
        <w:t xml:space="preserve"> </w:t>
      </w:r>
      <w:r w:rsidRPr="00717AF1">
        <w:t>Ac</w:t>
      </w:r>
      <w:r w:rsidRPr="00717AF1">
        <w:rPr>
          <w:spacing w:val="-1"/>
        </w:rPr>
        <w:t>qui</w:t>
      </w:r>
      <w:r w:rsidRPr="00717AF1">
        <w:t>s</w:t>
      </w:r>
      <w:r w:rsidRPr="00717AF1">
        <w:rPr>
          <w:spacing w:val="-1"/>
        </w:rPr>
        <w:t>i</w:t>
      </w:r>
      <w:r w:rsidRPr="00717AF1">
        <w:t>t</w:t>
      </w:r>
      <w:r w:rsidRPr="00717AF1">
        <w:rPr>
          <w:spacing w:val="-1"/>
        </w:rPr>
        <w:t>i</w:t>
      </w:r>
      <w:r w:rsidRPr="00717AF1">
        <w:t xml:space="preserve">ons </w:t>
      </w:r>
      <w:r w:rsidRPr="00717AF1">
        <w:rPr>
          <w:spacing w:val="-1"/>
        </w:rPr>
        <w:t>H</w:t>
      </w:r>
      <w:r w:rsidRPr="00717AF1">
        <w:t>e</w:t>
      </w:r>
      <w:r w:rsidRPr="00717AF1">
        <w:rPr>
          <w:spacing w:val="-1"/>
        </w:rPr>
        <w:t>l</w:t>
      </w:r>
      <w:r w:rsidRPr="00717AF1">
        <w:t>p</w:t>
      </w:r>
      <w:r w:rsidRPr="00717AF1">
        <w:rPr>
          <w:spacing w:val="-1"/>
        </w:rPr>
        <w:t>li</w:t>
      </w:r>
      <w:r w:rsidRPr="00717AF1">
        <w:t>ne</w:t>
      </w:r>
      <w:r w:rsidRPr="00717AF1">
        <w:rPr>
          <w:spacing w:val="-1"/>
        </w:rPr>
        <w:t xml:space="preserve"> </w:t>
      </w:r>
      <w:r w:rsidRPr="00717AF1">
        <w:t>on 301</w:t>
      </w:r>
      <w:r w:rsidRPr="00717AF1">
        <w:rPr>
          <w:spacing w:val="-1"/>
        </w:rPr>
        <w:t>-4</w:t>
      </w:r>
      <w:r w:rsidRPr="00717AF1">
        <w:t>96</w:t>
      </w:r>
      <w:r w:rsidRPr="00717AF1">
        <w:rPr>
          <w:spacing w:val="-1"/>
        </w:rPr>
        <w:t>-</w:t>
      </w:r>
      <w:r w:rsidRPr="00717AF1">
        <w:t>0</w:t>
      </w:r>
      <w:r w:rsidRPr="00717AF1">
        <w:rPr>
          <w:spacing w:val="-2"/>
        </w:rPr>
        <w:t>4</w:t>
      </w:r>
      <w:r w:rsidRPr="00717AF1">
        <w:t>00</w:t>
      </w:r>
      <w:r w:rsidRPr="00717AF1">
        <w:rPr>
          <w:spacing w:val="-1"/>
        </w:rPr>
        <w:t xml:space="preserve"> </w:t>
      </w:r>
      <w:r w:rsidRPr="00717AF1">
        <w:t xml:space="preserve">or </w:t>
      </w:r>
      <w:r w:rsidRPr="00717AF1">
        <w:rPr>
          <w:spacing w:val="-2"/>
        </w:rPr>
        <w:t>v</w:t>
      </w:r>
      <w:r w:rsidRPr="00717AF1">
        <w:rPr>
          <w:spacing w:val="-1"/>
        </w:rPr>
        <w:t>i</w:t>
      </w:r>
      <w:r w:rsidRPr="00717AF1">
        <w:t>a</w:t>
      </w:r>
      <w:r w:rsidRPr="00717AF1">
        <w:rPr>
          <w:spacing w:val="2"/>
        </w:rPr>
        <w:t xml:space="preserve"> </w:t>
      </w:r>
      <w:r w:rsidRPr="00717AF1">
        <w:t>e</w:t>
      </w:r>
      <w:r w:rsidRPr="00717AF1">
        <w:rPr>
          <w:spacing w:val="-1"/>
        </w:rPr>
        <w:t>-</w:t>
      </w:r>
      <w:r w:rsidRPr="00717AF1">
        <w:rPr>
          <w:spacing w:val="2"/>
        </w:rPr>
        <w:t>m</w:t>
      </w:r>
      <w:r w:rsidRPr="00717AF1">
        <w:t xml:space="preserve">ail at </w:t>
      </w:r>
      <w:hyperlink r:id="rId27" w:tooltip="OALMnewsletter@mail.nih.gov" w:history="1">
        <w:r w:rsidRPr="00717AF1">
          <w:rPr>
            <w:color w:val="0563C1"/>
            <w:u w:val="single"/>
          </w:rPr>
          <w:t>OALMnewsletter@mail.nih.gov</w:t>
        </w:r>
      </w:hyperlink>
      <w:hyperlink>
        <w:r w:rsidRPr="00717AF1">
          <w:rPr>
            <w:color w:val="000000"/>
          </w:rPr>
          <w:t xml:space="preserve"> and</w:t>
        </w:r>
        <w:r w:rsidRPr="00717AF1">
          <w:rPr>
            <w:color w:val="000000"/>
            <w:spacing w:val="-1"/>
          </w:rPr>
          <w:t xml:space="preserve"> </w:t>
        </w:r>
        <w:r w:rsidRPr="00717AF1">
          <w:rPr>
            <w:color w:val="000000"/>
            <w:spacing w:val="-2"/>
          </w:rPr>
          <w:t>y</w:t>
        </w:r>
        <w:r w:rsidRPr="00717AF1">
          <w:rPr>
            <w:color w:val="000000"/>
          </w:rPr>
          <w:t>ou</w:t>
        </w:r>
        <w:r w:rsidRPr="00717AF1">
          <w:rPr>
            <w:color w:val="000000"/>
            <w:spacing w:val="2"/>
          </w:rPr>
          <w:t xml:space="preserve"> </w:t>
        </w:r>
        <w:r w:rsidRPr="00717AF1">
          <w:rPr>
            <w:color w:val="000000"/>
            <w:spacing w:val="-3"/>
          </w:rPr>
          <w:t>w</w:t>
        </w:r>
        <w:r w:rsidRPr="00717AF1">
          <w:rPr>
            <w:color w:val="000000"/>
            <w:spacing w:val="-1"/>
          </w:rPr>
          <w:t>il</w:t>
        </w:r>
        <w:r w:rsidRPr="00717AF1">
          <w:rPr>
            <w:color w:val="000000"/>
          </w:rPr>
          <w:t xml:space="preserve">l be </w:t>
        </w:r>
        <w:r w:rsidRPr="00717AF1">
          <w:rPr>
            <w:color w:val="000000"/>
            <w:spacing w:val="-1"/>
          </w:rPr>
          <w:t>r</w:t>
        </w:r>
        <w:r w:rsidRPr="00717AF1">
          <w:rPr>
            <w:color w:val="000000"/>
          </w:rPr>
          <w:t>efe</w:t>
        </w:r>
        <w:r w:rsidRPr="00717AF1">
          <w:rPr>
            <w:color w:val="000000"/>
            <w:spacing w:val="-1"/>
          </w:rPr>
          <w:t>rr</w:t>
        </w:r>
        <w:r w:rsidRPr="00717AF1">
          <w:rPr>
            <w:color w:val="000000"/>
          </w:rPr>
          <w:t>ed</w:t>
        </w:r>
        <w:r w:rsidRPr="00717AF1">
          <w:rPr>
            <w:color w:val="000000"/>
            <w:spacing w:val="2"/>
          </w:rPr>
          <w:t xml:space="preserve"> </w:t>
        </w:r>
        <w:r w:rsidRPr="00717AF1">
          <w:rPr>
            <w:color w:val="000000"/>
            <w:spacing w:val="-2"/>
          </w:rPr>
          <w:t>t</w:t>
        </w:r>
        <w:r w:rsidRPr="00717AF1">
          <w:rPr>
            <w:color w:val="000000"/>
          </w:rPr>
          <w:t>o</w:t>
        </w:r>
        <w:r w:rsidRPr="00717AF1">
          <w:rPr>
            <w:color w:val="000000"/>
            <w:spacing w:val="2"/>
          </w:rPr>
          <w:t xml:space="preserve"> </w:t>
        </w:r>
        <w:r w:rsidRPr="00717AF1">
          <w:rPr>
            <w:color w:val="000000"/>
          </w:rPr>
          <w:t>t</w:t>
        </w:r>
        <w:r w:rsidRPr="00717AF1">
          <w:rPr>
            <w:color w:val="000000"/>
            <w:spacing w:val="-1"/>
          </w:rPr>
          <w:t>h</w:t>
        </w:r>
        <w:r w:rsidRPr="00717AF1">
          <w:rPr>
            <w:color w:val="000000"/>
          </w:rPr>
          <w:t>e</w:t>
        </w:r>
        <w:r w:rsidRPr="00717AF1">
          <w:rPr>
            <w:color w:val="000000"/>
            <w:spacing w:val="2"/>
          </w:rPr>
          <w:t xml:space="preserve"> </w:t>
        </w:r>
        <w:r w:rsidRPr="00717AF1">
          <w:rPr>
            <w:color w:val="000000"/>
            <w:spacing w:val="-1"/>
          </w:rPr>
          <w:t>a</w:t>
        </w:r>
        <w:r w:rsidRPr="00717AF1">
          <w:rPr>
            <w:color w:val="000000"/>
          </w:rPr>
          <w:t>pp</w:t>
        </w:r>
        <w:r w:rsidRPr="00717AF1">
          <w:rPr>
            <w:color w:val="000000"/>
            <w:spacing w:val="-1"/>
          </w:rPr>
          <w:t>ro</w:t>
        </w:r>
        <w:r w:rsidRPr="00717AF1">
          <w:rPr>
            <w:color w:val="000000"/>
          </w:rPr>
          <w:t>p</w:t>
        </w:r>
        <w:r w:rsidRPr="00717AF1">
          <w:rPr>
            <w:color w:val="000000"/>
            <w:spacing w:val="-1"/>
          </w:rPr>
          <w:t>ri</w:t>
        </w:r>
        <w:r w:rsidRPr="00717AF1">
          <w:rPr>
            <w:color w:val="000000"/>
          </w:rPr>
          <w:t>ate</w:t>
        </w:r>
        <w:r w:rsidRPr="00717AF1">
          <w:rPr>
            <w:color w:val="000000"/>
            <w:spacing w:val="-1"/>
          </w:rPr>
          <w:t xml:space="preserve"> </w:t>
        </w:r>
        <w:r w:rsidRPr="00717AF1">
          <w:rPr>
            <w:color w:val="000000"/>
          </w:rPr>
          <w:t>ed</w:t>
        </w:r>
        <w:r w:rsidRPr="00717AF1">
          <w:rPr>
            <w:color w:val="000000"/>
            <w:spacing w:val="-1"/>
          </w:rPr>
          <w:t>i</w:t>
        </w:r>
        <w:r w:rsidRPr="00717AF1">
          <w:rPr>
            <w:color w:val="000000"/>
          </w:rPr>
          <w:t>to</w:t>
        </w:r>
        <w:r w:rsidRPr="00717AF1">
          <w:rPr>
            <w:color w:val="000000"/>
            <w:spacing w:val="-1"/>
          </w:rPr>
          <w:t>r</w:t>
        </w:r>
        <w:r w:rsidRPr="00717AF1">
          <w:rPr>
            <w:color w:val="000000"/>
          </w:rPr>
          <w:t>.</w:t>
        </w:r>
      </w:hyperlink>
      <w:r w:rsidRPr="00717AF1">
        <w:t xml:space="preserve"> </w:t>
      </w:r>
    </w:p>
    <w:p w14:paraId="704FE79B" w14:textId="77777777" w:rsidR="00F51E92" w:rsidRPr="00717AF1" w:rsidRDefault="00F51E92" w:rsidP="004D1E09">
      <w:pPr>
        <w:rPr>
          <w:rFonts w:eastAsiaTheme="minorHAnsi"/>
        </w:rPr>
      </w:pPr>
    </w:p>
    <w:p w14:paraId="686F75BE" w14:textId="77777777" w:rsidR="00F51E92" w:rsidRPr="00717AF1" w:rsidRDefault="00F51E92" w:rsidP="004D1E09"/>
    <w:p w14:paraId="3F351619" w14:textId="77777777" w:rsidR="00B27D52" w:rsidRPr="00717AF1" w:rsidRDefault="00B27D52" w:rsidP="004D1E09"/>
    <w:sectPr w:rsidR="00B27D52" w:rsidRPr="0071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9DB"/>
    <w:multiLevelType w:val="hybridMultilevel"/>
    <w:tmpl w:val="EE62C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572F82"/>
    <w:multiLevelType w:val="hybridMultilevel"/>
    <w:tmpl w:val="518CD6F4"/>
    <w:lvl w:ilvl="0" w:tplc="387094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3A56D2E"/>
    <w:multiLevelType w:val="hybridMultilevel"/>
    <w:tmpl w:val="AC2C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D4DC3"/>
    <w:multiLevelType w:val="hybridMultilevel"/>
    <w:tmpl w:val="0A8A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8B2058"/>
    <w:multiLevelType w:val="hybridMultilevel"/>
    <w:tmpl w:val="0AFE23D4"/>
    <w:lvl w:ilvl="0" w:tplc="6A7ECCF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5B8666BB"/>
    <w:multiLevelType w:val="multilevel"/>
    <w:tmpl w:val="A080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03403"/>
    <w:multiLevelType w:val="multilevel"/>
    <w:tmpl w:val="1FECE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29"/>
    <w:rsid w:val="00006EF5"/>
    <w:rsid w:val="00043011"/>
    <w:rsid w:val="00076BAC"/>
    <w:rsid w:val="000A3C8F"/>
    <w:rsid w:val="000A7301"/>
    <w:rsid w:val="001B017A"/>
    <w:rsid w:val="001B69D6"/>
    <w:rsid w:val="00250E01"/>
    <w:rsid w:val="002D41C8"/>
    <w:rsid w:val="003610D0"/>
    <w:rsid w:val="003770AA"/>
    <w:rsid w:val="003F7EA0"/>
    <w:rsid w:val="004D1E09"/>
    <w:rsid w:val="0051153F"/>
    <w:rsid w:val="00563545"/>
    <w:rsid w:val="00575564"/>
    <w:rsid w:val="005B7B90"/>
    <w:rsid w:val="005C4057"/>
    <w:rsid w:val="005C4644"/>
    <w:rsid w:val="005F539F"/>
    <w:rsid w:val="0064351D"/>
    <w:rsid w:val="00647767"/>
    <w:rsid w:val="0066055A"/>
    <w:rsid w:val="00676A6F"/>
    <w:rsid w:val="006B5279"/>
    <w:rsid w:val="00717AF1"/>
    <w:rsid w:val="00722118"/>
    <w:rsid w:val="00761FAD"/>
    <w:rsid w:val="00795E52"/>
    <w:rsid w:val="007B18E2"/>
    <w:rsid w:val="007C2082"/>
    <w:rsid w:val="007E0BE1"/>
    <w:rsid w:val="00843C58"/>
    <w:rsid w:val="00850213"/>
    <w:rsid w:val="00884356"/>
    <w:rsid w:val="0089275C"/>
    <w:rsid w:val="00930771"/>
    <w:rsid w:val="00957FA8"/>
    <w:rsid w:val="00970FCF"/>
    <w:rsid w:val="00977E6D"/>
    <w:rsid w:val="009F1AA3"/>
    <w:rsid w:val="009F4A2D"/>
    <w:rsid w:val="00A622F3"/>
    <w:rsid w:val="00A7720D"/>
    <w:rsid w:val="00A84B3D"/>
    <w:rsid w:val="00AE6303"/>
    <w:rsid w:val="00B27D52"/>
    <w:rsid w:val="00B54A9C"/>
    <w:rsid w:val="00BC26AE"/>
    <w:rsid w:val="00BF5EFA"/>
    <w:rsid w:val="00CD23E0"/>
    <w:rsid w:val="00D22F16"/>
    <w:rsid w:val="00D81CF3"/>
    <w:rsid w:val="00DA22DA"/>
    <w:rsid w:val="00DA70BC"/>
    <w:rsid w:val="00DD5829"/>
    <w:rsid w:val="00F11E90"/>
    <w:rsid w:val="00F51E92"/>
    <w:rsid w:val="00FD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6443"/>
  <w15:chartTrackingRefBased/>
  <w15:docId w15:val="{4BAF2B0C-6682-46E9-A416-FB3BC1F0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E09"/>
    <w:pPr>
      <w:spacing w:after="120" w:line="240" w:lineRule="auto"/>
      <w:jc w:val="left"/>
    </w:pPr>
    <w:rPr>
      <w:rFonts w:ascii="Times New Roman" w:hAnsi="Times New Roman"/>
      <w:sz w:val="24"/>
    </w:rPr>
  </w:style>
  <w:style w:type="paragraph" w:styleId="Heading1">
    <w:name w:val="heading 1"/>
    <w:basedOn w:val="Normal"/>
    <w:next w:val="Normal"/>
    <w:link w:val="Heading1Char"/>
    <w:uiPriority w:val="9"/>
    <w:qFormat/>
    <w:rsid w:val="004D1E09"/>
    <w:pPr>
      <w:keepNext/>
      <w:keepLines/>
      <w:spacing w:before="360"/>
      <w:outlineLvl w:val="0"/>
    </w:pPr>
    <w:rPr>
      <w:rFonts w:ascii="Arial" w:eastAsiaTheme="majorEastAsia" w:hAnsi="Arial" w:cstheme="majorBidi"/>
      <w:b/>
      <w:bCs/>
      <w:caps/>
      <w:spacing w:val="4"/>
      <w:sz w:val="32"/>
      <w:szCs w:val="28"/>
    </w:rPr>
  </w:style>
  <w:style w:type="paragraph" w:styleId="Heading2">
    <w:name w:val="heading 2"/>
    <w:basedOn w:val="Normal"/>
    <w:next w:val="Normal"/>
    <w:link w:val="Heading2Char"/>
    <w:uiPriority w:val="9"/>
    <w:semiHidden/>
    <w:unhideWhenUsed/>
    <w:qFormat/>
    <w:rsid w:val="000A730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A7301"/>
    <w:pPr>
      <w:keepNext/>
      <w:keepLines/>
      <w:spacing w:before="120" w:after="0"/>
      <w:outlineLvl w:val="2"/>
    </w:pPr>
    <w:rPr>
      <w:rFonts w:asciiTheme="majorHAnsi" w:eastAsiaTheme="majorEastAsia" w:hAnsiTheme="majorHAnsi" w:cstheme="majorBidi"/>
      <w:spacing w:val="4"/>
      <w:szCs w:val="24"/>
    </w:rPr>
  </w:style>
  <w:style w:type="paragraph" w:styleId="Heading4">
    <w:name w:val="heading 4"/>
    <w:basedOn w:val="Normal"/>
    <w:next w:val="Normal"/>
    <w:link w:val="Heading4Char"/>
    <w:uiPriority w:val="9"/>
    <w:semiHidden/>
    <w:unhideWhenUsed/>
    <w:qFormat/>
    <w:rsid w:val="000A7301"/>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0A730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A730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A730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A730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A730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829"/>
    <w:rPr>
      <w:color w:val="0563C1"/>
      <w:u w:val="single"/>
    </w:rPr>
  </w:style>
  <w:style w:type="paragraph" w:styleId="ListParagraph">
    <w:name w:val="List Paragraph"/>
    <w:basedOn w:val="Normal"/>
    <w:uiPriority w:val="34"/>
    <w:qFormat/>
    <w:rsid w:val="00DD5829"/>
    <w:pPr>
      <w:ind w:left="720"/>
      <w:contextualSpacing/>
    </w:pPr>
  </w:style>
  <w:style w:type="character" w:styleId="FollowedHyperlink">
    <w:name w:val="FollowedHyperlink"/>
    <w:basedOn w:val="DefaultParagraphFont"/>
    <w:uiPriority w:val="99"/>
    <w:semiHidden/>
    <w:unhideWhenUsed/>
    <w:rsid w:val="00D22F16"/>
    <w:rPr>
      <w:color w:val="954F72" w:themeColor="followedHyperlink"/>
      <w:u w:val="single"/>
    </w:rPr>
  </w:style>
  <w:style w:type="character" w:styleId="UnresolvedMention">
    <w:name w:val="Unresolved Mention"/>
    <w:basedOn w:val="DefaultParagraphFont"/>
    <w:uiPriority w:val="99"/>
    <w:semiHidden/>
    <w:unhideWhenUsed/>
    <w:rsid w:val="007C2082"/>
    <w:rPr>
      <w:color w:val="605E5C"/>
      <w:shd w:val="clear" w:color="auto" w:fill="E1DFDD"/>
    </w:rPr>
  </w:style>
  <w:style w:type="paragraph" w:styleId="IntenseQuote">
    <w:name w:val="Intense Quote"/>
    <w:basedOn w:val="Normal"/>
    <w:next w:val="Normal"/>
    <w:link w:val="IntenseQuoteChar"/>
    <w:uiPriority w:val="30"/>
    <w:qFormat/>
    <w:rsid w:val="000A73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A7301"/>
    <w:rPr>
      <w:rFonts w:asciiTheme="majorHAnsi" w:eastAsiaTheme="majorEastAsia" w:hAnsiTheme="majorHAnsi" w:cstheme="majorBidi"/>
      <w:sz w:val="26"/>
      <w:szCs w:val="26"/>
    </w:rPr>
  </w:style>
  <w:style w:type="character" w:customStyle="1" w:styleId="Heading1Char">
    <w:name w:val="Heading 1 Char"/>
    <w:basedOn w:val="DefaultParagraphFont"/>
    <w:link w:val="Heading1"/>
    <w:uiPriority w:val="9"/>
    <w:rsid w:val="004D1E09"/>
    <w:rPr>
      <w:rFonts w:ascii="Arial" w:eastAsiaTheme="majorEastAsia" w:hAnsi="Arial" w:cstheme="majorBidi"/>
      <w:b/>
      <w:bCs/>
      <w:caps/>
      <w:spacing w:val="4"/>
      <w:sz w:val="32"/>
      <w:szCs w:val="28"/>
    </w:rPr>
  </w:style>
  <w:style w:type="character" w:customStyle="1" w:styleId="Heading2Char">
    <w:name w:val="Heading 2 Char"/>
    <w:basedOn w:val="DefaultParagraphFont"/>
    <w:link w:val="Heading2"/>
    <w:uiPriority w:val="9"/>
    <w:semiHidden/>
    <w:rsid w:val="000A730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A730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A730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A730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A730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A7301"/>
    <w:rPr>
      <w:i/>
      <w:iCs/>
    </w:rPr>
  </w:style>
  <w:style w:type="character" w:customStyle="1" w:styleId="Heading8Char">
    <w:name w:val="Heading 8 Char"/>
    <w:basedOn w:val="DefaultParagraphFont"/>
    <w:link w:val="Heading8"/>
    <w:uiPriority w:val="9"/>
    <w:semiHidden/>
    <w:rsid w:val="000A7301"/>
    <w:rPr>
      <w:b/>
      <w:bCs/>
    </w:rPr>
  </w:style>
  <w:style w:type="character" w:customStyle="1" w:styleId="Heading9Char">
    <w:name w:val="Heading 9 Char"/>
    <w:basedOn w:val="DefaultParagraphFont"/>
    <w:link w:val="Heading9"/>
    <w:uiPriority w:val="9"/>
    <w:semiHidden/>
    <w:rsid w:val="000A7301"/>
    <w:rPr>
      <w:i/>
      <w:iCs/>
    </w:rPr>
  </w:style>
  <w:style w:type="paragraph" w:styleId="Caption">
    <w:name w:val="caption"/>
    <w:basedOn w:val="Normal"/>
    <w:next w:val="Normal"/>
    <w:uiPriority w:val="35"/>
    <w:semiHidden/>
    <w:unhideWhenUsed/>
    <w:qFormat/>
    <w:rsid w:val="000A7301"/>
    <w:rPr>
      <w:b/>
      <w:bCs/>
      <w:sz w:val="18"/>
      <w:szCs w:val="18"/>
    </w:rPr>
  </w:style>
  <w:style w:type="paragraph" w:styleId="Title">
    <w:name w:val="Title"/>
    <w:basedOn w:val="Normal"/>
    <w:next w:val="Normal"/>
    <w:link w:val="TitleChar"/>
    <w:uiPriority w:val="10"/>
    <w:qFormat/>
    <w:rsid w:val="000A7301"/>
    <w:pPr>
      <w:spacing w:after="0"/>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A730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A7301"/>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0A7301"/>
    <w:rPr>
      <w:rFonts w:asciiTheme="majorHAnsi" w:eastAsiaTheme="majorEastAsia" w:hAnsiTheme="majorHAnsi" w:cstheme="majorBidi"/>
      <w:sz w:val="24"/>
      <w:szCs w:val="24"/>
    </w:rPr>
  </w:style>
  <w:style w:type="character" w:styleId="Strong">
    <w:name w:val="Strong"/>
    <w:basedOn w:val="DefaultParagraphFont"/>
    <w:uiPriority w:val="22"/>
    <w:qFormat/>
    <w:rsid w:val="000A7301"/>
    <w:rPr>
      <w:b/>
      <w:bCs/>
      <w:color w:val="auto"/>
    </w:rPr>
  </w:style>
  <w:style w:type="character" w:styleId="Emphasis">
    <w:name w:val="Emphasis"/>
    <w:basedOn w:val="DefaultParagraphFont"/>
    <w:uiPriority w:val="20"/>
    <w:qFormat/>
    <w:rsid w:val="000A7301"/>
    <w:rPr>
      <w:i/>
      <w:iCs/>
      <w:color w:val="auto"/>
    </w:rPr>
  </w:style>
  <w:style w:type="paragraph" w:styleId="NoSpacing">
    <w:name w:val="No Spacing"/>
    <w:uiPriority w:val="1"/>
    <w:qFormat/>
    <w:rsid w:val="000A7301"/>
    <w:pPr>
      <w:spacing w:after="0" w:line="240" w:lineRule="auto"/>
    </w:pPr>
  </w:style>
  <w:style w:type="paragraph" w:styleId="Quote">
    <w:name w:val="Quote"/>
    <w:basedOn w:val="Normal"/>
    <w:next w:val="Normal"/>
    <w:link w:val="QuoteChar"/>
    <w:uiPriority w:val="29"/>
    <w:qFormat/>
    <w:rsid w:val="000A730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0A7301"/>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0A7301"/>
    <w:rPr>
      <w:i/>
      <w:iCs/>
      <w:color w:val="auto"/>
    </w:rPr>
  </w:style>
  <w:style w:type="character" w:styleId="IntenseEmphasis">
    <w:name w:val="Intense Emphasis"/>
    <w:basedOn w:val="DefaultParagraphFont"/>
    <w:uiPriority w:val="21"/>
    <w:qFormat/>
    <w:rsid w:val="000A7301"/>
    <w:rPr>
      <w:b/>
      <w:bCs/>
      <w:i/>
      <w:iCs/>
      <w:color w:val="auto"/>
    </w:rPr>
  </w:style>
  <w:style w:type="character" w:styleId="SubtleReference">
    <w:name w:val="Subtle Reference"/>
    <w:basedOn w:val="DefaultParagraphFont"/>
    <w:uiPriority w:val="31"/>
    <w:qFormat/>
    <w:rsid w:val="000A7301"/>
    <w:rPr>
      <w:smallCaps/>
      <w:color w:val="auto"/>
      <w:u w:val="single" w:color="7F7F7F" w:themeColor="text1" w:themeTint="80"/>
    </w:rPr>
  </w:style>
  <w:style w:type="character" w:styleId="IntenseReference">
    <w:name w:val="Intense Reference"/>
    <w:basedOn w:val="DefaultParagraphFont"/>
    <w:uiPriority w:val="32"/>
    <w:qFormat/>
    <w:rsid w:val="000A7301"/>
    <w:rPr>
      <w:b/>
      <w:bCs/>
      <w:smallCaps/>
      <w:color w:val="auto"/>
      <w:u w:val="single"/>
    </w:rPr>
  </w:style>
  <w:style w:type="character" w:styleId="BookTitle">
    <w:name w:val="Book Title"/>
    <w:basedOn w:val="DefaultParagraphFont"/>
    <w:uiPriority w:val="33"/>
    <w:qFormat/>
    <w:rsid w:val="000A7301"/>
    <w:rPr>
      <w:b/>
      <w:bCs/>
      <w:smallCaps/>
      <w:color w:val="auto"/>
    </w:rPr>
  </w:style>
  <w:style w:type="paragraph" w:styleId="TOCHeading">
    <w:name w:val="TOC Heading"/>
    <w:basedOn w:val="Heading1"/>
    <w:next w:val="Normal"/>
    <w:uiPriority w:val="39"/>
    <w:semiHidden/>
    <w:unhideWhenUsed/>
    <w:qFormat/>
    <w:rsid w:val="000A7301"/>
    <w:pPr>
      <w:outlineLvl w:val="9"/>
    </w:pPr>
  </w:style>
  <w:style w:type="table" w:styleId="TableGrid">
    <w:name w:val="Table Grid"/>
    <w:basedOn w:val="TableNormal"/>
    <w:uiPriority w:val="39"/>
    <w:rsid w:val="00A6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8416">
      <w:bodyDiv w:val="1"/>
      <w:marLeft w:val="0"/>
      <w:marRight w:val="0"/>
      <w:marTop w:val="0"/>
      <w:marBottom w:val="0"/>
      <w:divBdr>
        <w:top w:val="none" w:sz="0" w:space="0" w:color="auto"/>
        <w:left w:val="none" w:sz="0" w:space="0" w:color="auto"/>
        <w:bottom w:val="none" w:sz="0" w:space="0" w:color="auto"/>
        <w:right w:val="none" w:sz="0" w:space="0" w:color="auto"/>
      </w:divBdr>
    </w:div>
    <w:div w:id="1107504988">
      <w:bodyDiv w:val="1"/>
      <w:marLeft w:val="0"/>
      <w:marRight w:val="0"/>
      <w:marTop w:val="0"/>
      <w:marBottom w:val="0"/>
      <w:divBdr>
        <w:top w:val="none" w:sz="0" w:space="0" w:color="auto"/>
        <w:left w:val="none" w:sz="0" w:space="0" w:color="auto"/>
        <w:bottom w:val="none" w:sz="0" w:space="0" w:color="auto"/>
        <w:right w:val="none" w:sz="0" w:space="0" w:color="auto"/>
      </w:divBdr>
    </w:div>
    <w:div w:id="1232472437">
      <w:bodyDiv w:val="1"/>
      <w:marLeft w:val="0"/>
      <w:marRight w:val="0"/>
      <w:marTop w:val="0"/>
      <w:marBottom w:val="0"/>
      <w:divBdr>
        <w:top w:val="none" w:sz="0" w:space="0" w:color="auto"/>
        <w:left w:val="none" w:sz="0" w:space="0" w:color="auto"/>
        <w:bottom w:val="none" w:sz="0" w:space="0" w:color="auto"/>
        <w:right w:val="none" w:sz="0" w:space="0" w:color="auto"/>
      </w:divBdr>
    </w:div>
    <w:div w:id="1378316342">
      <w:bodyDiv w:val="1"/>
      <w:marLeft w:val="0"/>
      <w:marRight w:val="0"/>
      <w:marTop w:val="0"/>
      <w:marBottom w:val="0"/>
      <w:divBdr>
        <w:top w:val="none" w:sz="0" w:space="0" w:color="auto"/>
        <w:left w:val="none" w:sz="0" w:space="0" w:color="auto"/>
        <w:bottom w:val="none" w:sz="0" w:space="0" w:color="auto"/>
        <w:right w:val="none" w:sz="0" w:space="0" w:color="auto"/>
      </w:divBdr>
    </w:div>
    <w:div w:id="1615750784">
      <w:bodyDiv w:val="1"/>
      <w:marLeft w:val="0"/>
      <w:marRight w:val="0"/>
      <w:marTop w:val="0"/>
      <w:marBottom w:val="0"/>
      <w:divBdr>
        <w:top w:val="none" w:sz="0" w:space="0" w:color="auto"/>
        <w:left w:val="none" w:sz="0" w:space="0" w:color="auto"/>
        <w:bottom w:val="none" w:sz="0" w:space="0" w:color="auto"/>
        <w:right w:val="none" w:sz="0" w:space="0" w:color="auto"/>
      </w:divBdr>
    </w:div>
    <w:div w:id="17709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card@od.nih.gov" TargetMode="External"/><Relationship Id="rId13" Type="http://schemas.openxmlformats.org/officeDocument/2006/relationships/hyperlink" Target="file:///C:\Users\ambrosea\AppData\Local\Microsoft\Windows\Temporary%20Internet%20Files\Content.Outlook\XMPR3Y3P\sam.Beta.gov" TargetMode="External"/><Relationship Id="rId18" Type="http://schemas.openxmlformats.org/officeDocument/2006/relationships/hyperlink" Target="http://training.cit.nih.gov/list.aspx?catId=14" TargetMode="External"/><Relationship Id="rId26" Type="http://schemas.openxmlformats.org/officeDocument/2006/relationships/hyperlink" Target="mailto:SolomonBJ@od.nih.gov" TargetMode="External"/><Relationship Id="rId3" Type="http://schemas.openxmlformats.org/officeDocument/2006/relationships/settings" Target="settings.xml"/><Relationship Id="rId21" Type="http://schemas.openxmlformats.org/officeDocument/2006/relationships/hyperlink" Target="mailto:BPAProgramBranch@od.nih.gov" TargetMode="External"/><Relationship Id="rId7" Type="http://schemas.openxmlformats.org/officeDocument/2006/relationships/hyperlink" Target="https://oalm.od.nih.gov/node/152" TargetMode="External"/><Relationship Id="rId12" Type="http://schemas.openxmlformats.org/officeDocument/2006/relationships/hyperlink" Target="https://www.acquisition.gov/sites/default/files/current/far/html/Subpart%2013_1.html" TargetMode="External"/><Relationship Id="rId17" Type="http://schemas.openxmlformats.org/officeDocument/2006/relationships/hyperlink" Target="https://learn.dau.mil/Atlas2/faces/page/atlasSE/login/Login.seam" TargetMode="External"/><Relationship Id="rId25" Type="http://schemas.openxmlformats.org/officeDocument/2006/relationships/hyperlink" Target="mailto:,%20" TargetMode="External"/><Relationship Id="rId2" Type="http://schemas.openxmlformats.org/officeDocument/2006/relationships/styles" Target="styles.xml"/><Relationship Id="rId16" Type="http://schemas.openxmlformats.org/officeDocument/2006/relationships/hyperlink" Target="http://www.fai.gov/" TargetMode="External"/><Relationship Id="rId20" Type="http://schemas.openxmlformats.org/officeDocument/2006/relationships/hyperlink" Target="http://oamp.od.nih.gov/dsaps/bpa-progra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CP@nih.gov" TargetMode="External"/><Relationship Id="rId11" Type="http://schemas.openxmlformats.org/officeDocument/2006/relationships/hyperlink" Target="https://www.acquisition.gov/sites/default/files/current/far/html/Subpart%2012_2.html" TargetMode="External"/><Relationship Id="rId24" Type="http://schemas.openxmlformats.org/officeDocument/2006/relationships/hyperlink" Target="mailto:Jesse.Lee2@nih.gov" TargetMode="External"/><Relationship Id="rId5" Type="http://schemas.openxmlformats.org/officeDocument/2006/relationships/hyperlink" Target="https://oalm.od.nih.gov/node/152" TargetMode="External"/><Relationship Id="rId15" Type="http://schemas.openxmlformats.org/officeDocument/2006/relationships/hyperlink" Target="https://hr.nih.gov/training-center/course-catalog/acquisitions-management" TargetMode="External"/><Relationship Id="rId23" Type="http://schemas.openxmlformats.org/officeDocument/2006/relationships/hyperlink" Target="mailto:McDermottMl@od.nih.gov" TargetMode="External"/><Relationship Id="rId28" Type="http://schemas.openxmlformats.org/officeDocument/2006/relationships/fontTable" Target="fontTable.xml"/><Relationship Id="rId10" Type="http://schemas.openxmlformats.org/officeDocument/2006/relationships/hyperlink" Target="https://www.acquisition.gov/content/part-8-required-sources-supplies-and-services" TargetMode="External"/><Relationship Id="rId19" Type="http://schemas.openxmlformats.org/officeDocument/2006/relationships/hyperlink" Target="http://oalm.od.nih.gov/GreenPurchasingForWebsite" TargetMode="External"/><Relationship Id="rId4" Type="http://schemas.openxmlformats.org/officeDocument/2006/relationships/webSettings" Target="webSettings.xml"/><Relationship Id="rId9" Type="http://schemas.openxmlformats.org/officeDocument/2006/relationships/hyperlink" Target="https://www.gsaelibrary.gsa.gov/ElibMain/home.do" TargetMode="External"/><Relationship Id="rId14" Type="http://schemas.openxmlformats.org/officeDocument/2006/relationships/hyperlink" Target="https://hr.nih.gov/training-center/course-catalog/acquisitions-management" TargetMode="External"/><Relationship Id="rId22" Type="http://schemas.openxmlformats.org/officeDocument/2006/relationships/hyperlink" Target="mailto:NicholaM@od.nih.gov" TargetMode="External"/><Relationship Id="rId27" Type="http://schemas.openxmlformats.org/officeDocument/2006/relationships/hyperlink" Target="mailto:OALMnewsletter@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Milton (NIH/OD) [E]</dc:creator>
  <cp:keywords/>
  <dc:description/>
  <cp:lastModifiedBy>Ambrose, Alan (NIH/OD) [C]</cp:lastModifiedBy>
  <cp:revision>2</cp:revision>
  <cp:lastPrinted>2019-05-13T15:34:00Z</cp:lastPrinted>
  <dcterms:created xsi:type="dcterms:W3CDTF">2019-05-14T19:24:00Z</dcterms:created>
  <dcterms:modified xsi:type="dcterms:W3CDTF">2019-05-14T19:24:00Z</dcterms:modified>
</cp:coreProperties>
</file>